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88E7" w14:textId="01A3220E" w:rsidR="008D28EF" w:rsidRPr="007D5CDB" w:rsidRDefault="008D28EF" w:rsidP="008D28EF">
      <w:pPr>
        <w:rPr>
          <w:rFonts w:asciiTheme="majorHAnsi" w:hAnsiTheme="majorHAnsi" w:cstheme="majorHAnsi"/>
          <w:b/>
          <w:bCs/>
          <w:smallCaps/>
          <w:sz w:val="48"/>
          <w:szCs w:val="48"/>
        </w:rPr>
      </w:pPr>
      <w:r w:rsidRPr="00972C88">
        <w:rPr>
          <w:rFonts w:asciiTheme="majorHAnsi" w:hAnsiTheme="majorHAnsi" w:cstheme="majorHAnsi"/>
          <w:b/>
          <w:bCs/>
          <w:smallCaps/>
          <w:sz w:val="44"/>
          <w:szCs w:val="44"/>
        </w:rPr>
        <w:t>Guide de présentation</w:t>
      </w:r>
      <w:r w:rsidRPr="004045EC">
        <w:rPr>
          <w:rFonts w:asciiTheme="majorHAnsi" w:hAnsiTheme="majorHAnsi" w:cstheme="majorHAnsi"/>
          <w:b/>
          <w:bCs/>
          <w:smallCaps/>
          <w:sz w:val="48"/>
          <w:szCs w:val="48"/>
        </w:rPr>
        <w:t xml:space="preserve"> </w:t>
      </w:r>
      <w:r w:rsidR="00972C88">
        <w:rPr>
          <w:rFonts w:asciiTheme="majorHAnsi" w:hAnsiTheme="majorHAnsi" w:cstheme="majorHAnsi"/>
          <w:b/>
          <w:bCs/>
          <w:smallCaps/>
          <w:sz w:val="48"/>
          <w:szCs w:val="48"/>
        </w:rPr>
        <w:t xml:space="preserve">    </w:t>
      </w:r>
      <w:r w:rsidRPr="004045EC">
        <w:rPr>
          <w:rFonts w:asciiTheme="majorHAnsi" w:hAnsiTheme="majorHAnsi" w:cstheme="majorHAnsi"/>
          <w:b/>
          <w:bCs/>
          <w:sz w:val="36"/>
          <w:szCs w:val="36"/>
        </w:rPr>
        <w:t xml:space="preserve">Appel de projets </w:t>
      </w:r>
      <w:r>
        <w:rPr>
          <w:rFonts w:asciiTheme="majorHAnsi" w:hAnsiTheme="majorHAnsi" w:cstheme="majorHAnsi"/>
          <w:b/>
          <w:bCs/>
          <w:sz w:val="36"/>
          <w:szCs w:val="36"/>
        </w:rPr>
        <w:t>2024-2027</w:t>
      </w:r>
    </w:p>
    <w:p w14:paraId="24AA4D8A" w14:textId="77777777" w:rsidR="008D28EF" w:rsidRPr="004045EC" w:rsidRDefault="008D28EF" w:rsidP="008D28EF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390D36DF" w14:textId="68B2C7BE" w:rsidR="008D28EF" w:rsidRPr="000B3CD1" w:rsidRDefault="00F5598E" w:rsidP="00913E2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Volet 2 : </w:t>
      </w:r>
      <w:r w:rsidR="00D40DE0">
        <w:rPr>
          <w:rFonts w:asciiTheme="majorHAnsi" w:hAnsiTheme="majorHAnsi" w:cstheme="majorHAnsi"/>
          <w:b/>
          <w:bCs/>
          <w:sz w:val="28"/>
          <w:szCs w:val="28"/>
        </w:rPr>
        <w:t>Appui aux</w:t>
      </w:r>
      <w:r w:rsidR="00913E20" w:rsidRPr="000B3CD1">
        <w:rPr>
          <w:rFonts w:asciiTheme="majorHAnsi" w:hAnsiTheme="majorHAnsi" w:cstheme="majorHAnsi"/>
          <w:b/>
          <w:bCs/>
          <w:sz w:val="28"/>
          <w:szCs w:val="28"/>
        </w:rPr>
        <w:t xml:space="preserve"> initiatives favorisant le développement du plein potentiel des jeunes 0-35 ans</w:t>
      </w:r>
    </w:p>
    <w:p w14:paraId="0E1304BC" w14:textId="77777777" w:rsidR="00961FEE" w:rsidRDefault="00961FEE" w:rsidP="00913E20">
      <w:pPr>
        <w:jc w:val="both"/>
        <w:rPr>
          <w:rFonts w:asciiTheme="majorHAnsi" w:hAnsiTheme="majorHAnsi" w:cstheme="majorHAnsi"/>
          <w:b/>
          <w:bCs/>
        </w:rPr>
      </w:pPr>
    </w:p>
    <w:p w14:paraId="08CC0AAD" w14:textId="31C4C21A" w:rsidR="00961FEE" w:rsidRDefault="00961FEE" w:rsidP="00961FEE">
      <w:pPr>
        <w:spacing w:after="200" w:line="276" w:lineRule="auto"/>
        <w:contextualSpacing/>
        <w:jc w:val="both"/>
        <w:rPr>
          <w:rFonts w:asciiTheme="majorHAnsi" w:hAnsiTheme="majorHAnsi" w:cstheme="majorHAnsi"/>
        </w:rPr>
      </w:pPr>
      <w:r w:rsidRPr="004D206E">
        <w:rPr>
          <w:rFonts w:asciiTheme="majorHAnsi" w:hAnsiTheme="majorHAnsi" w:cstheme="majorHAnsi"/>
        </w:rPr>
        <w:t>Objectifs</w:t>
      </w:r>
      <w:r>
        <w:rPr>
          <w:rFonts w:asciiTheme="majorHAnsi" w:hAnsiTheme="majorHAnsi" w:cstheme="majorHAnsi"/>
        </w:rPr>
        <w:t>:</w:t>
      </w:r>
    </w:p>
    <w:p w14:paraId="16C255BC" w14:textId="77777777" w:rsidR="00961FEE" w:rsidRPr="00961FEE" w:rsidRDefault="00961FEE" w:rsidP="00961FEE">
      <w:pPr>
        <w:numPr>
          <w:ilvl w:val="0"/>
          <w:numId w:val="13"/>
        </w:numPr>
        <w:contextualSpacing/>
        <w:jc w:val="both"/>
        <w:rPr>
          <w:rFonts w:asciiTheme="majorHAnsi" w:hAnsiTheme="majorHAnsi" w:cstheme="majorHAnsi"/>
        </w:rPr>
      </w:pPr>
      <w:r w:rsidRPr="00961FEE">
        <w:rPr>
          <w:rFonts w:asciiTheme="majorHAnsi" w:hAnsiTheme="majorHAnsi" w:cstheme="majorHAnsi"/>
        </w:rPr>
        <w:t>Favoriser l’émergence d’initiatives favorisant le développement du plein potentiel de tous les jeunes sur le territoire mauricien.</w:t>
      </w:r>
    </w:p>
    <w:p w14:paraId="385FBA54" w14:textId="77777777" w:rsidR="00961FEE" w:rsidRPr="00961FEE" w:rsidRDefault="00961FEE" w:rsidP="00961FEE">
      <w:pPr>
        <w:numPr>
          <w:ilvl w:val="0"/>
          <w:numId w:val="13"/>
        </w:numPr>
        <w:contextualSpacing/>
        <w:jc w:val="both"/>
        <w:rPr>
          <w:rFonts w:asciiTheme="majorHAnsi" w:hAnsiTheme="majorHAnsi" w:cstheme="majorHAnsi"/>
        </w:rPr>
      </w:pPr>
      <w:r w:rsidRPr="00961FEE">
        <w:rPr>
          <w:rFonts w:asciiTheme="majorHAnsi" w:hAnsiTheme="majorHAnsi" w:cstheme="majorHAnsi"/>
        </w:rPr>
        <w:t>Renforcer la capacité à travailler de façon concertée afin de répondre concrètement aux besoins émergents des jeunes.</w:t>
      </w:r>
    </w:p>
    <w:p w14:paraId="4982B9AF" w14:textId="77777777" w:rsidR="00913E20" w:rsidRPr="00913E20" w:rsidRDefault="00913E20" w:rsidP="00913E20">
      <w:pPr>
        <w:jc w:val="both"/>
        <w:rPr>
          <w:b/>
          <w:bCs/>
        </w:rPr>
      </w:pPr>
    </w:p>
    <w:p w14:paraId="6B8D524E" w14:textId="5B282AE0" w:rsidR="0014587A" w:rsidRPr="00135A17" w:rsidRDefault="008D28EF" w:rsidP="008D28EF">
      <w:pPr>
        <w:jc w:val="both"/>
        <w:rPr>
          <w:rFonts w:asciiTheme="majorHAnsi" w:hAnsiTheme="majorHAnsi" w:cstheme="majorHAnsi"/>
        </w:rPr>
      </w:pPr>
      <w:r w:rsidRPr="00135A17">
        <w:rPr>
          <w:rFonts w:asciiTheme="majorHAnsi" w:hAnsiTheme="majorHAnsi" w:cstheme="majorHAnsi"/>
        </w:rPr>
        <w:t xml:space="preserve">La Démarche mauricienne pour le </w:t>
      </w:r>
      <w:r w:rsidRPr="00135A17">
        <w:rPr>
          <w:rFonts w:asciiTheme="majorHAnsi" w:hAnsiTheme="majorHAnsi" w:cstheme="majorHAnsi"/>
          <w:b/>
          <w:bCs/>
        </w:rPr>
        <w:t>développement du plein potentiel de tous les jeunes</w:t>
      </w:r>
      <w:r w:rsidRPr="00135A17">
        <w:rPr>
          <w:rFonts w:asciiTheme="majorHAnsi" w:hAnsiTheme="majorHAnsi" w:cstheme="majorHAnsi"/>
        </w:rPr>
        <w:t xml:space="preserve"> est financée par la Fondation Lucie et André Chagnon depuis 2019. Elle regroupe des partenaires locaux et régionaux.  </w:t>
      </w:r>
    </w:p>
    <w:p w14:paraId="0DBC8B4E" w14:textId="77777777" w:rsidR="0014587A" w:rsidRPr="00135A17" w:rsidRDefault="0014587A" w:rsidP="008D28EF">
      <w:pPr>
        <w:jc w:val="both"/>
        <w:rPr>
          <w:rFonts w:asciiTheme="majorHAnsi" w:hAnsiTheme="majorHAnsi" w:cstheme="majorHAnsi"/>
        </w:rPr>
      </w:pPr>
    </w:p>
    <w:p w14:paraId="6548D610" w14:textId="7EF0C354" w:rsidR="007B4D02" w:rsidRPr="00135A17" w:rsidRDefault="007B4D02" w:rsidP="007B4D02">
      <w:pPr>
        <w:jc w:val="both"/>
        <w:rPr>
          <w:rFonts w:asciiTheme="majorHAnsi" w:hAnsiTheme="majorHAnsi"/>
        </w:rPr>
      </w:pPr>
      <w:r w:rsidRPr="00135A17">
        <w:rPr>
          <w:rFonts w:asciiTheme="majorHAnsi" w:hAnsiTheme="majorHAnsi"/>
        </w:rPr>
        <w:t xml:space="preserve">Les initiatives doivent répondre à l’un ou plusieurs des critères suivants : </w:t>
      </w:r>
    </w:p>
    <w:p w14:paraId="3648FE40" w14:textId="77777777" w:rsidR="007B4D02" w:rsidRPr="00135A17" w:rsidRDefault="007B4D02" w:rsidP="007B4D02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</w:rPr>
      </w:pPr>
      <w:r w:rsidRPr="00135A17">
        <w:rPr>
          <w:rFonts w:asciiTheme="majorHAnsi" w:hAnsiTheme="majorHAnsi"/>
        </w:rPr>
        <w:t>Développement global des jeunes</w:t>
      </w:r>
    </w:p>
    <w:p w14:paraId="294EC04F" w14:textId="77777777" w:rsidR="007B4D02" w:rsidRPr="00135A17" w:rsidRDefault="007B4D02" w:rsidP="007B4D02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</w:rPr>
      </w:pPr>
      <w:r w:rsidRPr="00135A17">
        <w:rPr>
          <w:rFonts w:asciiTheme="majorHAnsi" w:hAnsiTheme="majorHAnsi"/>
        </w:rPr>
        <w:t>Réussite éducative</w:t>
      </w:r>
    </w:p>
    <w:p w14:paraId="4D344F1F" w14:textId="77777777" w:rsidR="007B4D02" w:rsidRPr="00135A17" w:rsidRDefault="007B4D02" w:rsidP="007B4D02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</w:rPr>
      </w:pPr>
      <w:r w:rsidRPr="00135A17">
        <w:rPr>
          <w:rFonts w:asciiTheme="majorHAnsi" w:hAnsiTheme="majorHAnsi"/>
        </w:rPr>
        <w:t>Lutte à la pauvreté</w:t>
      </w:r>
    </w:p>
    <w:p w14:paraId="6ACC297B" w14:textId="77777777" w:rsidR="007B4D02" w:rsidRPr="00135A17" w:rsidRDefault="007B4D02" w:rsidP="007B4D02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</w:rPr>
      </w:pPr>
      <w:r w:rsidRPr="00135A17">
        <w:rPr>
          <w:rFonts w:asciiTheme="majorHAnsi" w:hAnsiTheme="majorHAnsi"/>
        </w:rPr>
        <w:t>Inégalités sociales</w:t>
      </w:r>
    </w:p>
    <w:p w14:paraId="35604FFE" w14:textId="77777777" w:rsidR="007B4D02" w:rsidRPr="00135A17" w:rsidRDefault="007B4D02" w:rsidP="007B4D02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</w:rPr>
      </w:pPr>
      <w:r w:rsidRPr="00135A17">
        <w:rPr>
          <w:rFonts w:asciiTheme="majorHAnsi" w:hAnsiTheme="majorHAnsi"/>
        </w:rPr>
        <w:t>Accès à des aliments sains pour tous</w:t>
      </w:r>
    </w:p>
    <w:p w14:paraId="4B4EAFC9" w14:textId="77777777" w:rsidR="009A5ABE" w:rsidRPr="00135A17" w:rsidRDefault="009A5ABE" w:rsidP="008D28EF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  <w:kern w:val="0"/>
        </w:rPr>
      </w:pPr>
    </w:p>
    <w:p w14:paraId="339B66CE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  <w:r w:rsidRPr="00135A17">
        <w:rPr>
          <w:rFonts w:asciiTheme="majorHAnsi" w:hAnsiTheme="majorHAnsi" w:cstheme="minorHAnsi"/>
          <w:color w:val="000000"/>
          <w:kern w:val="0"/>
        </w:rPr>
        <w:t xml:space="preserve">Être à son </w:t>
      </w:r>
      <w:r w:rsidRPr="00135A17">
        <w:rPr>
          <w:rFonts w:asciiTheme="majorHAnsi" w:hAnsiTheme="majorHAnsi" w:cstheme="minorHAnsi"/>
          <w:b/>
          <w:bCs/>
          <w:kern w:val="0"/>
        </w:rPr>
        <w:t>plein potentiel</w:t>
      </w:r>
      <w:r w:rsidRPr="00135A17">
        <w:rPr>
          <w:rFonts w:asciiTheme="majorHAnsi" w:hAnsiTheme="majorHAnsi" w:cstheme="minorHAnsi"/>
          <w:kern w:val="0"/>
        </w:rPr>
        <w:t xml:space="preserve"> </w:t>
      </w:r>
      <w:r w:rsidRPr="00135A17">
        <w:rPr>
          <w:rFonts w:asciiTheme="majorHAnsi" w:hAnsiTheme="majorHAnsi" w:cstheme="minorHAnsi"/>
          <w:color w:val="000000"/>
          <w:kern w:val="0"/>
        </w:rPr>
        <w:t>revient à dire : être dans les meilleures conditions possibles (sociale, économique, culturelle et environnementale) pour se développer afin d’atteindre ses objectifs.</w:t>
      </w:r>
    </w:p>
    <w:p w14:paraId="6BC3C6BF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  <w:sz w:val="12"/>
          <w:szCs w:val="12"/>
        </w:rPr>
      </w:pPr>
    </w:p>
    <w:p w14:paraId="50AC8C64" w14:textId="1CA62101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  <w:r w:rsidRPr="00135A17">
        <w:rPr>
          <w:rFonts w:asciiTheme="majorHAnsi" w:hAnsiTheme="majorHAnsi" w:cstheme="minorHAnsi"/>
          <w:color w:val="000000"/>
          <w:kern w:val="0"/>
        </w:rPr>
        <w:t xml:space="preserve">Le développement global ainsi que le développement du plein potentiel des jeunes sont des principes étroitement reliés </w:t>
      </w:r>
      <w:r w:rsidR="00BE138E" w:rsidRPr="00BE138E">
        <w:rPr>
          <w:rFonts w:asciiTheme="majorHAnsi" w:hAnsiTheme="majorHAnsi" w:cstheme="minorHAnsi"/>
          <w:color w:val="000000"/>
          <w:kern w:val="0"/>
        </w:rPr>
        <w:t>et touchant le</w:t>
      </w:r>
      <w:r w:rsidRPr="00135A17">
        <w:rPr>
          <w:rFonts w:asciiTheme="majorHAnsi" w:hAnsiTheme="majorHAnsi" w:cstheme="minorHAnsi"/>
          <w:color w:val="000000"/>
          <w:kern w:val="0"/>
        </w:rPr>
        <w:t>:</w:t>
      </w:r>
    </w:p>
    <w:p w14:paraId="441D750D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  <w:sz w:val="12"/>
          <w:szCs w:val="12"/>
        </w:rPr>
      </w:pPr>
    </w:p>
    <w:p w14:paraId="39205E32" w14:textId="77777777" w:rsidR="009A5ABE" w:rsidRPr="0087708B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  <w:r w:rsidRPr="0087708B">
        <w:rPr>
          <w:rFonts w:asciiTheme="majorHAnsi" w:hAnsiTheme="majorHAnsi" w:cstheme="minorHAnsi"/>
          <w:b/>
          <w:bCs/>
          <w:color w:val="000000"/>
          <w:kern w:val="0"/>
        </w:rPr>
        <w:t>DÉVELOPPEMENT AFFECTIF</w:t>
      </w:r>
    </w:p>
    <w:p w14:paraId="6FE09B5D" w14:textId="2C4CE0F5" w:rsidR="005934B4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kern w:val="0"/>
        </w:rPr>
      </w:pPr>
      <w:r w:rsidRPr="00135A17">
        <w:rPr>
          <w:rFonts w:asciiTheme="majorHAnsi" w:hAnsiTheme="majorHAnsi" w:cstheme="minorHAnsi"/>
          <w:kern w:val="0"/>
        </w:rPr>
        <w:t>La capacité d’adaptation (gestion des changements et des transitions), l’engagement, l’attachement, la construction de son identité, la gestion des émotions, l’estime de soi, etc.</w:t>
      </w:r>
    </w:p>
    <w:p w14:paraId="7D50CDEB" w14:textId="77777777" w:rsidR="00BE138E" w:rsidRPr="00BE138E" w:rsidRDefault="00BE138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kern w:val="0"/>
        </w:rPr>
      </w:pPr>
    </w:p>
    <w:p w14:paraId="3A44CC6D" w14:textId="7451596D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  <w:r w:rsidRPr="00135A17">
        <w:rPr>
          <w:rFonts w:asciiTheme="majorHAnsi" w:hAnsiTheme="majorHAnsi" w:cstheme="minorHAnsi"/>
          <w:b/>
          <w:bCs/>
          <w:color w:val="000000"/>
          <w:kern w:val="0"/>
        </w:rPr>
        <w:t>DÉVELOPPEMENT SOCIAL</w:t>
      </w:r>
    </w:p>
    <w:p w14:paraId="09C7888D" w14:textId="0BB61133" w:rsidR="009A5ABE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  <w:r w:rsidRPr="00135A17">
        <w:rPr>
          <w:rFonts w:asciiTheme="majorHAnsi" w:hAnsiTheme="majorHAnsi" w:cstheme="minorHAnsi"/>
          <w:color w:val="000000"/>
          <w:kern w:val="0"/>
        </w:rPr>
        <w:t>Le vivre ensemble, la collaboration, les relations souples et harmonieuses, la confiance, la coopération, le partage, la conscience des conventions sociales, etc.</w:t>
      </w:r>
    </w:p>
    <w:p w14:paraId="22B1C81E" w14:textId="77777777" w:rsidR="00BE138E" w:rsidRPr="000B3CD1" w:rsidRDefault="00BE138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</w:p>
    <w:p w14:paraId="46CE3D99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  <w:r w:rsidRPr="00135A17">
        <w:rPr>
          <w:rFonts w:asciiTheme="majorHAnsi" w:hAnsiTheme="majorHAnsi" w:cstheme="minorHAnsi"/>
          <w:b/>
          <w:bCs/>
          <w:color w:val="000000"/>
          <w:kern w:val="0"/>
        </w:rPr>
        <w:t>DÉVELOPPEMENT COGNITIF</w:t>
      </w:r>
    </w:p>
    <w:p w14:paraId="711DEF25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  <w:r w:rsidRPr="00135A17">
        <w:rPr>
          <w:rFonts w:asciiTheme="majorHAnsi" w:hAnsiTheme="majorHAnsi" w:cstheme="minorHAnsi"/>
          <w:color w:val="000000"/>
          <w:kern w:val="0"/>
        </w:rPr>
        <w:t>Pensée critique, planification, créativité, raisonnement, déduction, compréhension de problèmes, etc.</w:t>
      </w:r>
    </w:p>
    <w:p w14:paraId="246C531B" w14:textId="77777777" w:rsidR="009A5ABE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</w:p>
    <w:p w14:paraId="69627FF3" w14:textId="77777777" w:rsidR="00BE138E" w:rsidRPr="00BE138E" w:rsidRDefault="00BE138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</w:p>
    <w:p w14:paraId="6ABD059A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  <w:r w:rsidRPr="00135A17">
        <w:rPr>
          <w:rFonts w:asciiTheme="majorHAnsi" w:hAnsiTheme="majorHAnsi" w:cstheme="minorHAnsi"/>
          <w:b/>
          <w:bCs/>
          <w:color w:val="000000"/>
          <w:kern w:val="0"/>
        </w:rPr>
        <w:lastRenderedPageBreak/>
        <w:t>DÉVELOPPEMENT LANGAGIER</w:t>
      </w:r>
    </w:p>
    <w:p w14:paraId="708CDA21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  <w:r w:rsidRPr="00135A17">
        <w:rPr>
          <w:rFonts w:asciiTheme="majorHAnsi" w:hAnsiTheme="majorHAnsi" w:cstheme="minorHAnsi"/>
          <w:color w:val="000000"/>
          <w:kern w:val="0"/>
        </w:rPr>
        <w:t>Communication, compréhension et expression, tout ce qui concerne l’éveil à la lecture et à l’écriture, la culture et l’expression artistique, etc.</w:t>
      </w:r>
    </w:p>
    <w:p w14:paraId="6699277C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  <w:sz w:val="12"/>
          <w:szCs w:val="12"/>
        </w:rPr>
      </w:pPr>
    </w:p>
    <w:p w14:paraId="1C8CB7DC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</w:rPr>
      </w:pPr>
      <w:r w:rsidRPr="00135A17">
        <w:rPr>
          <w:rFonts w:asciiTheme="majorHAnsi" w:hAnsiTheme="majorHAnsi" w:cstheme="minorHAnsi"/>
          <w:b/>
          <w:bCs/>
          <w:color w:val="000000"/>
          <w:kern w:val="0"/>
        </w:rPr>
        <w:t>DÉVELOPPEMENT PHYSIQUE ET MOTEUR</w:t>
      </w:r>
    </w:p>
    <w:p w14:paraId="5D763768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kern w:val="0"/>
        </w:rPr>
      </w:pPr>
      <w:r w:rsidRPr="00135A17">
        <w:rPr>
          <w:rFonts w:asciiTheme="majorHAnsi" w:hAnsiTheme="majorHAnsi" w:cstheme="minorHAnsi"/>
          <w:color w:val="000000"/>
          <w:kern w:val="0"/>
        </w:rPr>
        <w:t>Habiletés motrices fines et globales (agir et interagir), la mobilité, les saines habitudes de vie, etc.</w:t>
      </w:r>
    </w:p>
    <w:p w14:paraId="1B386B5F" w14:textId="77777777" w:rsidR="009A5ABE" w:rsidRPr="00135A17" w:rsidRDefault="009A5ABE" w:rsidP="009A5AB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000000"/>
          <w:kern w:val="0"/>
          <w:sz w:val="12"/>
          <w:szCs w:val="12"/>
        </w:rPr>
      </w:pPr>
    </w:p>
    <w:p w14:paraId="3E4429F9" w14:textId="10DFF5F0" w:rsidR="008D28EF" w:rsidRPr="00135A17" w:rsidRDefault="009A5ABE" w:rsidP="00BE138E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  <w:color w:val="E29C1E"/>
          <w:sz w:val="28"/>
          <w:szCs w:val="28"/>
        </w:rPr>
      </w:pPr>
      <w:r w:rsidRPr="00135A17">
        <w:rPr>
          <w:rFonts w:asciiTheme="majorHAnsi" w:hAnsiTheme="majorHAnsi" w:cstheme="minorHAnsi"/>
          <w:color w:val="000000"/>
          <w:kern w:val="0"/>
        </w:rPr>
        <w:t xml:space="preserve">Afin </w:t>
      </w:r>
      <w:r w:rsidR="00BE138E">
        <w:rPr>
          <w:rFonts w:asciiTheme="majorHAnsi" w:hAnsiTheme="majorHAnsi" w:cstheme="minorHAnsi"/>
          <w:color w:val="000000"/>
          <w:kern w:val="0"/>
        </w:rPr>
        <w:t>d’inclure les</w:t>
      </w:r>
      <w:r w:rsidRPr="00135A17">
        <w:rPr>
          <w:rFonts w:asciiTheme="majorHAnsi" w:hAnsiTheme="majorHAnsi" w:cstheme="minorHAnsi"/>
          <w:color w:val="000000"/>
          <w:kern w:val="0"/>
        </w:rPr>
        <w:t xml:space="preserve"> actions réalisées par les partenaires impliqués dans la Démarche mauricienne, nous considérons que l’âge des jeunes se situe entre 0 et 35 ans.</w:t>
      </w:r>
    </w:p>
    <w:p w14:paraId="005FC0E0" w14:textId="77777777" w:rsidR="005934B4" w:rsidRPr="004718DF" w:rsidRDefault="005934B4" w:rsidP="004718DF">
      <w:pPr>
        <w:autoSpaceDE w:val="0"/>
        <w:autoSpaceDN w:val="0"/>
        <w:adjustRightInd w:val="0"/>
        <w:rPr>
          <w:rFonts w:cstheme="minorHAnsi"/>
          <w:b/>
          <w:bCs/>
          <w:color w:val="E29C1E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D28EF" w:rsidRPr="00FC73FC" w14:paraId="3AD54E1A" w14:textId="77777777" w:rsidTr="00F5598E">
        <w:tc>
          <w:tcPr>
            <w:tcW w:w="9350" w:type="dxa"/>
            <w:shd w:val="clear" w:color="auto" w:fill="C1E4F5" w:themeFill="accent1" w:themeFillTint="33"/>
          </w:tcPr>
          <w:p w14:paraId="580B0BEC" w14:textId="77777777" w:rsidR="008D28EF" w:rsidRPr="00135A17" w:rsidRDefault="008D28EF" w:rsidP="00F368B2">
            <w:pPr>
              <w:rPr>
                <w:rFonts w:asciiTheme="majorHAnsi" w:hAnsiTheme="majorHAnsi" w:cstheme="majorHAnsi"/>
                <w:b/>
                <w:bCs/>
                <w:smallCaps/>
                <w:color w:val="E29C1E"/>
                <w:sz w:val="24"/>
                <w:szCs w:val="24"/>
                <w:lang w:val="fr-CA"/>
              </w:rPr>
            </w:pPr>
            <w:r w:rsidRPr="00135A17"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  <w:t xml:space="preserve">Promoteurs admissibles :  </w:t>
            </w:r>
          </w:p>
        </w:tc>
      </w:tr>
      <w:tr w:rsidR="008D28EF" w:rsidRPr="000A5357" w14:paraId="212B7FCB" w14:textId="77777777" w:rsidTr="00F368B2">
        <w:tc>
          <w:tcPr>
            <w:tcW w:w="9350" w:type="dxa"/>
          </w:tcPr>
          <w:p w14:paraId="706F7A73" w14:textId="77777777" w:rsidR="008261D8" w:rsidRPr="000B3CD1" w:rsidRDefault="008261D8" w:rsidP="008261D8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</w:pPr>
            <w:r w:rsidRPr="000B3CD1"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  <w:t xml:space="preserve">Les organismes à but non lucratif (OBNL) </w:t>
            </w:r>
          </w:p>
          <w:p w14:paraId="7FB97B3E" w14:textId="77777777" w:rsidR="008261D8" w:rsidRPr="000B3CD1" w:rsidRDefault="008261D8" w:rsidP="008261D8">
            <w:pPr>
              <w:numPr>
                <w:ilvl w:val="0"/>
                <w:numId w:val="5"/>
              </w:numPr>
              <w:contextualSpacing/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</w:pPr>
            <w:r w:rsidRPr="000B3CD1"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  <w:t>Centre de services scolaires (ex : les écoles)</w:t>
            </w:r>
          </w:p>
          <w:p w14:paraId="09BA0844" w14:textId="77777777" w:rsidR="008261D8" w:rsidRPr="000B3CD1" w:rsidRDefault="008261D8" w:rsidP="008261D8">
            <w:pPr>
              <w:numPr>
                <w:ilvl w:val="0"/>
                <w:numId w:val="5"/>
              </w:numPr>
              <w:contextualSpacing/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</w:pPr>
            <w:r w:rsidRPr="000B3CD1"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  <w:t>Organismes municipaux (ex : les bibliothèques)</w:t>
            </w:r>
          </w:p>
          <w:p w14:paraId="76832B92" w14:textId="40DBCD3A" w:rsidR="008D28EF" w:rsidRPr="00A90530" w:rsidRDefault="008261D8" w:rsidP="008261D8">
            <w:pPr>
              <w:numPr>
                <w:ilvl w:val="0"/>
                <w:numId w:val="5"/>
              </w:numPr>
              <w:contextualSpacing/>
            </w:pPr>
            <w:r w:rsidRPr="000B3CD1">
              <w:rPr>
                <w:rFonts w:asciiTheme="majorHAnsi" w:hAnsiTheme="majorHAnsi" w:cstheme="majorHAnsi"/>
                <w:kern w:val="0"/>
                <w:sz w:val="24"/>
                <w:szCs w:val="24"/>
                <w:lang w:val="fr-CA"/>
                <w14:ligatures w14:val="none"/>
              </w:rPr>
              <w:t>Communautés autochtones</w:t>
            </w:r>
          </w:p>
        </w:tc>
      </w:tr>
    </w:tbl>
    <w:p w14:paraId="5892BC7A" w14:textId="77777777" w:rsidR="004718DF" w:rsidRDefault="004718DF" w:rsidP="008D28EF">
      <w:pPr>
        <w:rPr>
          <w:rFonts w:asciiTheme="majorHAnsi" w:hAnsiTheme="majorHAnsi" w:cstheme="majorHAnsi"/>
          <w:b/>
          <w:bCs/>
          <w:color w:val="E29C1E"/>
        </w:rPr>
      </w:pPr>
    </w:p>
    <w:p w14:paraId="79EBDED3" w14:textId="77777777" w:rsidR="00AA6E01" w:rsidRPr="00DE62DB" w:rsidRDefault="00AA6E01" w:rsidP="008D28EF">
      <w:pPr>
        <w:rPr>
          <w:rFonts w:asciiTheme="majorHAnsi" w:hAnsiTheme="majorHAnsi" w:cstheme="majorHAnsi"/>
          <w:b/>
          <w:bCs/>
          <w:color w:val="E29C1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D28EF" w:rsidRPr="00DE62DB" w14:paraId="6DCDB57C" w14:textId="77777777" w:rsidTr="00F5598E">
        <w:tc>
          <w:tcPr>
            <w:tcW w:w="9350" w:type="dxa"/>
            <w:shd w:val="clear" w:color="auto" w:fill="C1E4F5" w:themeFill="accent1" w:themeFillTint="33"/>
          </w:tcPr>
          <w:p w14:paraId="4D486814" w14:textId="77777777" w:rsidR="008D28EF" w:rsidRPr="00135A17" w:rsidRDefault="008D28EF" w:rsidP="00F368B2">
            <w:pPr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</w:pPr>
            <w:bookmarkStart w:id="0" w:name="_Hlk134789015"/>
            <w:r w:rsidRPr="00135A17"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  <w:t>Durée du projet</w:t>
            </w:r>
          </w:p>
        </w:tc>
      </w:tr>
      <w:bookmarkEnd w:id="0"/>
      <w:tr w:rsidR="008D28EF" w:rsidRPr="0080458C" w14:paraId="563FB904" w14:textId="77777777" w:rsidTr="00F368B2">
        <w:tc>
          <w:tcPr>
            <w:tcW w:w="9350" w:type="dxa"/>
          </w:tcPr>
          <w:p w14:paraId="07B8374F" w14:textId="77777777" w:rsidR="008D28EF" w:rsidRPr="000B3CD1" w:rsidRDefault="008D28EF" w:rsidP="00F368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</w:rPr>
              <w:t>Année 2025-2026</w:t>
            </w:r>
          </w:p>
          <w:p w14:paraId="412E7C7C" w14:textId="796D63E3" w:rsidR="008D28EF" w:rsidRPr="00A57C95" w:rsidRDefault="008D28EF" w:rsidP="008D28EF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Les projets pourront débuter au début du </w:t>
            </w: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mois de </w:t>
            </w:r>
            <w:r w:rsidR="003441A5"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novembre</w:t>
            </w: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2025</w:t>
            </w:r>
          </w:p>
          <w:p w14:paraId="2F6A7006" w14:textId="3E2C182D" w:rsidR="008D28EF" w:rsidRPr="00A57C95" w:rsidRDefault="008D28EF" w:rsidP="008D28EF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Les projets doivent être réalisés au plus tard, le </w:t>
            </w:r>
            <w:r w:rsidR="003441A5"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31 octobre</w:t>
            </w: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2026</w:t>
            </w:r>
          </w:p>
          <w:p w14:paraId="1C8C87BA" w14:textId="7AEAC104" w:rsidR="008D28EF" w:rsidRPr="00397D65" w:rsidRDefault="008D28EF" w:rsidP="00397D65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lang w:val="fr-CA"/>
              </w:rPr>
            </w:pP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La reddition de compte</w:t>
            </w:r>
            <w:r w:rsidR="00BE138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s</w:t>
            </w: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devra être déposée au plus tard le </w:t>
            </w:r>
            <w:r w:rsidR="003441A5"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30 novemb</w:t>
            </w:r>
            <w:r w:rsidR="00601AAA"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re</w:t>
            </w:r>
            <w:r w:rsidRPr="00A57C95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2026</w:t>
            </w:r>
          </w:p>
        </w:tc>
      </w:tr>
    </w:tbl>
    <w:p w14:paraId="4903D47F" w14:textId="77777777" w:rsidR="004718DF" w:rsidRDefault="004718DF" w:rsidP="008D28EF">
      <w:pPr>
        <w:rPr>
          <w:b/>
          <w:bCs/>
          <w:color w:val="E29C1E"/>
        </w:rPr>
      </w:pPr>
    </w:p>
    <w:p w14:paraId="19AEEEB8" w14:textId="77777777" w:rsidR="00AA6E01" w:rsidRPr="00DE62DB" w:rsidRDefault="00AA6E01" w:rsidP="008D28EF">
      <w:pPr>
        <w:rPr>
          <w:b/>
          <w:bCs/>
          <w:color w:val="E29C1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3"/>
        <w:gridCol w:w="6607"/>
      </w:tblGrid>
      <w:tr w:rsidR="008D28EF" w:rsidRPr="0080458C" w14:paraId="333781F7" w14:textId="77777777" w:rsidTr="00F5598E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88A7857" w14:textId="77777777" w:rsidR="008D28EF" w:rsidRPr="00135A17" w:rsidRDefault="008D28EF" w:rsidP="00F368B2">
            <w:pPr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</w:pPr>
            <w:bookmarkStart w:id="1" w:name="_Hlk134789323"/>
            <w:bookmarkStart w:id="2" w:name="_Hlk134789303"/>
            <w:r w:rsidRPr="00135A17"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  <w:t>Pour être admissible, votre projet doit répondre aux critères suivants :</w:t>
            </w:r>
          </w:p>
        </w:tc>
      </w:tr>
      <w:bookmarkEnd w:id="1"/>
      <w:tr w:rsidR="008D28EF" w:rsidRPr="0080458C" w14:paraId="1699C8B4" w14:textId="77777777" w:rsidTr="000B3CD1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14:paraId="7381AAD5" w14:textId="3CC5A6DD" w:rsidR="008D28EF" w:rsidRPr="000B3CD1" w:rsidRDefault="008D28EF" w:rsidP="00F368B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>Les organismes doivent</w:t>
            </w:r>
            <w:r w:rsidR="006D35F3" w:rsidRPr="000B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 xml:space="preserve"> présenter un</w:t>
            </w:r>
            <w:r w:rsidRPr="000B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>:</w:t>
            </w:r>
          </w:p>
          <w:p w14:paraId="5845D185" w14:textId="77777777" w:rsidR="00282078" w:rsidRPr="000B3CD1" w:rsidRDefault="00282078" w:rsidP="008261D8">
            <w:pPr>
              <w:pStyle w:val="Paragraphedeliste"/>
              <w:numPr>
                <w:ilvl w:val="0"/>
                <w:numId w:val="16"/>
              </w:numPr>
              <w:ind w:left="731" w:hanging="425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Projet qui correspond à au moins un objectif de l’appel de projets;</w:t>
            </w:r>
          </w:p>
          <w:p w14:paraId="0983BD40" w14:textId="77777777" w:rsidR="00282078" w:rsidRPr="000B3CD1" w:rsidRDefault="00282078" w:rsidP="008261D8">
            <w:pPr>
              <w:pStyle w:val="Paragraphedeliste"/>
              <w:numPr>
                <w:ilvl w:val="0"/>
                <w:numId w:val="16"/>
              </w:numPr>
              <w:ind w:left="731" w:hanging="425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Projet qui répond aux critères liés au développement du plein potentiel des jeunes.</w:t>
            </w:r>
          </w:p>
          <w:p w14:paraId="1E00033D" w14:textId="4A7897B5" w:rsidR="00282078" w:rsidRPr="000B3CD1" w:rsidRDefault="00282078" w:rsidP="008261D8">
            <w:pPr>
              <w:pStyle w:val="Paragraphedeliste"/>
              <w:numPr>
                <w:ilvl w:val="0"/>
                <w:numId w:val="16"/>
              </w:numPr>
              <w:ind w:left="731" w:hanging="425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Projet dont les actions sont destinées aux jeunes et/ou à la famille et qui démontre des retombées directes auprès de ceux-ci.</w:t>
            </w:r>
          </w:p>
          <w:p w14:paraId="0188FD7A" w14:textId="42037E6B" w:rsidR="00282078" w:rsidRDefault="00282078" w:rsidP="008261D8">
            <w:pPr>
              <w:pStyle w:val="Paragraphedeliste"/>
              <w:numPr>
                <w:ilvl w:val="0"/>
                <w:numId w:val="16"/>
              </w:numPr>
              <w:ind w:left="731" w:hanging="425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Projet dont les actions ciblent prioritairement les jeunes présentant des critères de vulnérabilité et/ou issus de milieux défavorisés.</w:t>
            </w:r>
          </w:p>
          <w:p w14:paraId="129C559C" w14:textId="77777777" w:rsidR="00AA6E01" w:rsidRPr="000B3CD1" w:rsidRDefault="00AA6E01" w:rsidP="00AA6E01">
            <w:pPr>
              <w:pStyle w:val="Paragraphedeliste"/>
              <w:ind w:left="731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</w:p>
          <w:p w14:paraId="7F70DB47" w14:textId="5535BF2A" w:rsidR="00282078" w:rsidRPr="000B3CD1" w:rsidRDefault="00282078" w:rsidP="0028207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B3CD1">
              <w:rPr>
                <w:b/>
                <w:bCs/>
                <w:sz w:val="24"/>
                <w:szCs w:val="24"/>
              </w:rPr>
              <w:t>Atouts</w:t>
            </w:r>
            <w:proofErr w:type="spellEnd"/>
            <w:r w:rsidRPr="000B3CD1">
              <w:rPr>
                <w:b/>
                <w:bCs/>
                <w:sz w:val="24"/>
                <w:szCs w:val="24"/>
              </w:rPr>
              <w:t>*:</w:t>
            </w:r>
          </w:p>
          <w:p w14:paraId="27992835" w14:textId="77777777" w:rsidR="00282078" w:rsidRPr="000B3CD1" w:rsidRDefault="00282078" w:rsidP="0028207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fr-CA"/>
              </w:rPr>
            </w:pPr>
            <w:r w:rsidRPr="000B3CD1">
              <w:rPr>
                <w:sz w:val="24"/>
                <w:szCs w:val="24"/>
                <w:lang w:val="fr-CA"/>
              </w:rPr>
              <w:t xml:space="preserve">Projet favorisant la participation citoyenne du jeune (par et pour les jeunes).  </w:t>
            </w:r>
          </w:p>
          <w:p w14:paraId="1B9CDC23" w14:textId="19BEEE8B" w:rsidR="000D3224" w:rsidRPr="000B3CD1" w:rsidRDefault="00282078" w:rsidP="000D322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fr-CA"/>
              </w:rPr>
            </w:pPr>
            <w:r w:rsidRPr="000B3CD1">
              <w:rPr>
                <w:sz w:val="24"/>
                <w:szCs w:val="24"/>
                <w:lang w:val="fr-CA"/>
              </w:rPr>
              <w:t>Projet concerté</w:t>
            </w:r>
            <w:r w:rsidR="00327C83" w:rsidRPr="000B3CD1">
              <w:rPr>
                <w:sz w:val="24"/>
                <w:szCs w:val="24"/>
                <w:lang w:val="fr-CA"/>
              </w:rPr>
              <w:t xml:space="preserve"> (voir lexique en ANNEXE </w:t>
            </w:r>
            <w:r w:rsidR="00FC4103" w:rsidRPr="000B3CD1">
              <w:rPr>
                <w:sz w:val="24"/>
                <w:szCs w:val="24"/>
                <w:lang w:val="fr-CA"/>
              </w:rPr>
              <w:t>1</w:t>
            </w:r>
            <w:r w:rsidR="00327C83" w:rsidRPr="000B3CD1">
              <w:rPr>
                <w:sz w:val="24"/>
                <w:szCs w:val="24"/>
                <w:lang w:val="fr-CA"/>
              </w:rPr>
              <w:t>)</w:t>
            </w:r>
            <w:r w:rsidRPr="000B3CD1">
              <w:rPr>
                <w:sz w:val="24"/>
                <w:szCs w:val="24"/>
                <w:lang w:val="fr-CA"/>
              </w:rPr>
              <w:t xml:space="preserve"> en collaboration avec les concertations locales et/ou régionales</w:t>
            </w:r>
            <w:r w:rsidR="00A115C2" w:rsidRPr="000B3CD1">
              <w:rPr>
                <w:sz w:val="24"/>
                <w:szCs w:val="24"/>
                <w:lang w:val="fr-CA"/>
              </w:rPr>
              <w:t xml:space="preserve"> (voir ANNEXE </w:t>
            </w:r>
            <w:r w:rsidR="00FC4103" w:rsidRPr="000B3CD1">
              <w:rPr>
                <w:sz w:val="24"/>
                <w:szCs w:val="24"/>
                <w:lang w:val="fr-CA"/>
              </w:rPr>
              <w:t>2</w:t>
            </w:r>
            <w:r w:rsidR="00A115C2" w:rsidRPr="000B3CD1">
              <w:rPr>
                <w:sz w:val="24"/>
                <w:szCs w:val="24"/>
                <w:lang w:val="fr-CA"/>
              </w:rPr>
              <w:t>)</w:t>
            </w:r>
            <w:r w:rsidRPr="000B3CD1">
              <w:rPr>
                <w:sz w:val="24"/>
                <w:szCs w:val="24"/>
                <w:lang w:val="fr-CA"/>
              </w:rPr>
              <w:t xml:space="preserve"> OU avec des partenaires siégeant aux concertations locales associées à la Démarche mauricienne</w:t>
            </w:r>
            <w:r w:rsidR="001924C7" w:rsidRPr="000B3CD1">
              <w:rPr>
                <w:sz w:val="24"/>
                <w:szCs w:val="24"/>
                <w:lang w:val="fr-CA"/>
              </w:rPr>
              <w:t>.</w:t>
            </w:r>
          </w:p>
          <w:p w14:paraId="54092A87" w14:textId="77777777" w:rsidR="005934B4" w:rsidRPr="00AA6E01" w:rsidRDefault="00282078" w:rsidP="005934B4">
            <w:pPr>
              <w:numPr>
                <w:ilvl w:val="0"/>
                <w:numId w:val="3"/>
              </w:numPr>
              <w:jc w:val="both"/>
              <w:rPr>
                <w:lang w:val="fr-CA"/>
              </w:rPr>
            </w:pPr>
            <w:r w:rsidRPr="000B3CD1">
              <w:rPr>
                <w:sz w:val="24"/>
                <w:szCs w:val="24"/>
                <w:lang w:val="fr-CA"/>
              </w:rPr>
              <w:t xml:space="preserve">Projet qui répond aux enjeux communs identifiés par les concertations locales issues de la Démarche mauricienne.  (Voir </w:t>
            </w:r>
            <w:r w:rsidR="00A115C2" w:rsidRPr="000B3CD1">
              <w:rPr>
                <w:sz w:val="24"/>
                <w:szCs w:val="24"/>
                <w:lang w:val="fr-CA"/>
              </w:rPr>
              <w:t>ANNEXE</w:t>
            </w:r>
            <w:r w:rsidRPr="000B3CD1">
              <w:rPr>
                <w:sz w:val="24"/>
                <w:szCs w:val="24"/>
                <w:lang w:val="fr-CA"/>
              </w:rPr>
              <w:t xml:space="preserve"> </w:t>
            </w:r>
            <w:r w:rsidR="00FC4103" w:rsidRPr="000B3CD1">
              <w:rPr>
                <w:sz w:val="24"/>
                <w:szCs w:val="24"/>
                <w:lang w:val="fr-CA"/>
              </w:rPr>
              <w:t>3</w:t>
            </w:r>
            <w:r w:rsidRPr="000B3CD1">
              <w:rPr>
                <w:sz w:val="24"/>
                <w:szCs w:val="24"/>
                <w:lang w:val="fr-CA"/>
              </w:rPr>
              <w:t>)</w:t>
            </w:r>
          </w:p>
          <w:p w14:paraId="744BAF87" w14:textId="301CFEB7" w:rsidR="00AA6E01" w:rsidRPr="005934B4" w:rsidRDefault="00AA6E01" w:rsidP="00AA6E01">
            <w:pPr>
              <w:jc w:val="both"/>
              <w:rPr>
                <w:lang w:val="fr-CA"/>
              </w:rPr>
            </w:pPr>
          </w:p>
        </w:tc>
      </w:tr>
      <w:tr w:rsidR="008D28EF" w:rsidRPr="0080458C" w14:paraId="5D85434C" w14:textId="77777777" w:rsidTr="00F5598E">
        <w:tc>
          <w:tcPr>
            <w:tcW w:w="8630" w:type="dxa"/>
            <w:gridSpan w:val="2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24B56235" w14:textId="1B159EBF" w:rsidR="008D28EF" w:rsidRPr="00135A17" w:rsidRDefault="008D28EF" w:rsidP="00F368B2">
            <w:pPr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</w:pPr>
            <w:bookmarkStart w:id="3" w:name="_Hlk134789916"/>
            <w:bookmarkEnd w:id="2"/>
            <w:r w:rsidRPr="00135A17"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  <w:lang w:val="fr-CA"/>
              </w:rPr>
              <w:lastRenderedPageBreak/>
              <w:t xml:space="preserve">Aide financière </w:t>
            </w:r>
          </w:p>
        </w:tc>
      </w:tr>
      <w:tr w:rsidR="00EE6DC7" w:rsidRPr="00665A64" w14:paraId="4DDB2ACB" w14:textId="77777777" w:rsidTr="005934B4">
        <w:tc>
          <w:tcPr>
            <w:tcW w:w="2023" w:type="dxa"/>
          </w:tcPr>
          <w:p w14:paraId="6F4C9953" w14:textId="0C4404EF" w:rsidR="00EE6DC7" w:rsidRPr="000B3CD1" w:rsidRDefault="00EE6DC7" w:rsidP="00F368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</w:rPr>
              <w:t>Montant minimal</w:t>
            </w:r>
          </w:p>
        </w:tc>
        <w:tc>
          <w:tcPr>
            <w:tcW w:w="6607" w:type="dxa"/>
          </w:tcPr>
          <w:p w14:paraId="68A2EFEC" w14:textId="130E7064" w:rsidR="00EE6DC7" w:rsidRPr="000B3CD1" w:rsidRDefault="004A0CA2" w:rsidP="00F368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</w:rPr>
              <w:t>15 000$</w:t>
            </w:r>
          </w:p>
        </w:tc>
      </w:tr>
      <w:bookmarkEnd w:id="3"/>
      <w:tr w:rsidR="008D28EF" w:rsidRPr="00665A64" w14:paraId="0419A9A0" w14:textId="77777777" w:rsidTr="005934B4">
        <w:tc>
          <w:tcPr>
            <w:tcW w:w="2023" w:type="dxa"/>
          </w:tcPr>
          <w:p w14:paraId="5C73B5B7" w14:textId="77777777" w:rsidR="008D28EF" w:rsidRPr="000B3CD1" w:rsidRDefault="008D28EF" w:rsidP="00F368B2">
            <w:pPr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Montant maximal</w:t>
            </w:r>
          </w:p>
        </w:tc>
        <w:tc>
          <w:tcPr>
            <w:tcW w:w="6607" w:type="dxa"/>
          </w:tcPr>
          <w:p w14:paraId="5E0F1807" w14:textId="7B235F4F" w:rsidR="008D28EF" w:rsidRPr="000B3CD1" w:rsidRDefault="004A0CA2" w:rsidP="00F368B2">
            <w:pPr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25</w:t>
            </w:r>
            <w:r w:rsidR="008D28EF"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 000 $ </w:t>
            </w:r>
          </w:p>
        </w:tc>
      </w:tr>
      <w:tr w:rsidR="00EC1525" w:rsidRPr="00665A64" w14:paraId="013B5B38" w14:textId="77777777" w:rsidTr="00A4355A">
        <w:trPr>
          <w:trHeight w:val="588"/>
        </w:trPr>
        <w:tc>
          <w:tcPr>
            <w:tcW w:w="8630" w:type="dxa"/>
            <w:gridSpan w:val="2"/>
          </w:tcPr>
          <w:p w14:paraId="3D124705" w14:textId="3A995E51" w:rsidR="00EC1525" w:rsidRPr="000B3CD1" w:rsidRDefault="00A4355A" w:rsidP="00A4355A">
            <w:pPr>
              <w:jc w:val="both"/>
              <w:rPr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Pour des projets couvrant plus d’un territoire, ou l’ensemble de la Mauricie, il est possible de demander un montant pouvant aller jusqu’à 50 000$.</w:t>
            </w:r>
          </w:p>
        </w:tc>
      </w:tr>
      <w:tr w:rsidR="008D28EF" w:rsidRPr="0080458C" w14:paraId="7FE6E1ED" w14:textId="77777777" w:rsidTr="005934B4">
        <w:tc>
          <w:tcPr>
            <w:tcW w:w="8630" w:type="dxa"/>
            <w:gridSpan w:val="2"/>
          </w:tcPr>
          <w:p w14:paraId="678D13DF" w14:textId="77777777" w:rsidR="008D28EF" w:rsidRPr="000B3CD1" w:rsidRDefault="008D28EF" w:rsidP="00F368B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L’aide accordée peut atteindre 80 % des dépenses totales du projet. </w:t>
            </w:r>
          </w:p>
          <w:p w14:paraId="2A404D6C" w14:textId="121EAD81" w:rsidR="008D28EF" w:rsidRPr="000B3CD1" w:rsidRDefault="008D28EF" w:rsidP="00F368B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Un minimum de 20% des dépenses totales du projet doit être assumé par le promoteur ou un autre bailleur de fonds, les investissements non monétaires sont admissibles.</w:t>
            </w:r>
          </w:p>
        </w:tc>
      </w:tr>
      <w:tr w:rsidR="008D28EF" w:rsidRPr="0080458C" w14:paraId="09975A1B" w14:textId="77777777" w:rsidTr="005934B4">
        <w:tc>
          <w:tcPr>
            <w:tcW w:w="8630" w:type="dxa"/>
            <w:gridSpan w:val="2"/>
          </w:tcPr>
          <w:p w14:paraId="57763C0E" w14:textId="041F94D8" w:rsidR="008D28EF" w:rsidRPr="000B3CD1" w:rsidRDefault="008D28EF" w:rsidP="00F368B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>Dépenses admissibles</w:t>
            </w:r>
            <w:r w:rsidR="00E75FC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>*</w:t>
            </w:r>
            <w:r w:rsidRPr="000B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 xml:space="preserve"> : </w:t>
            </w:r>
          </w:p>
          <w:p w14:paraId="6DEAC1C5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Les coûts de main-d’œuvre, d’honoraires et de frais de service professionnels en lien avec le projet; </w:t>
            </w:r>
          </w:p>
          <w:p w14:paraId="621896DA" w14:textId="26CA8D7A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Les frais de gestion </w:t>
            </w:r>
            <w:r w:rsidR="00BE138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o</w:t>
            </w: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u de coordination pour un maximum de 20% des dépenses totales du projet;  </w:t>
            </w:r>
          </w:p>
          <w:p w14:paraId="646025CD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Les coûts de location d’équipement ou de locaux;</w:t>
            </w:r>
          </w:p>
          <w:p w14:paraId="579705EF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Les coûts d’achat de matériel ou d’équipements nécessaires à la réalisation du projet;</w:t>
            </w:r>
          </w:p>
          <w:p w14:paraId="57CB8135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Les frais de promotion et de communication liées au projet;</w:t>
            </w:r>
          </w:p>
          <w:p w14:paraId="3528B0DC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Les frais de recherche et de documentation;</w:t>
            </w:r>
          </w:p>
          <w:p w14:paraId="7515C342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Les dépenses liées à la logistique du projet (développement, mise en place, réalisation).</w:t>
            </w:r>
          </w:p>
          <w:p w14:paraId="5EF0A4EC" w14:textId="6BC88B28" w:rsidR="008D28EF" w:rsidRDefault="00CC68F3" w:rsidP="00CC68F3">
            <w:pPr>
              <w:ind w:left="36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*</w:t>
            </w:r>
            <w:r w:rsidR="00E46D24">
              <w:rPr>
                <w:rFonts w:asciiTheme="majorHAnsi" w:hAnsiTheme="majorHAnsi" w:cstheme="majorHAnsi"/>
                <w:lang w:val="fr-CA"/>
              </w:rPr>
              <w:t>Les factures seront recevables à partir du 1</w:t>
            </w:r>
            <w:r w:rsidR="00E46D24" w:rsidRPr="00E46D24">
              <w:rPr>
                <w:rFonts w:asciiTheme="majorHAnsi" w:hAnsiTheme="majorHAnsi" w:cstheme="majorHAnsi"/>
                <w:vertAlign w:val="superscript"/>
                <w:lang w:val="fr-CA"/>
              </w:rPr>
              <w:t>er</w:t>
            </w:r>
            <w:r w:rsidR="00E46D24">
              <w:rPr>
                <w:rFonts w:asciiTheme="majorHAnsi" w:hAnsiTheme="majorHAnsi" w:cstheme="majorHAnsi"/>
                <w:lang w:val="fr-CA"/>
              </w:rPr>
              <w:t xml:space="preserve"> novembre 2025)</w:t>
            </w:r>
            <w:r>
              <w:rPr>
                <w:rFonts w:asciiTheme="majorHAnsi" w:hAnsiTheme="majorHAnsi" w:cstheme="majorHAnsi"/>
                <w:lang w:val="fr-CA"/>
              </w:rPr>
              <w:t xml:space="preserve"> </w:t>
            </w:r>
          </w:p>
          <w:p w14:paraId="272AC338" w14:textId="77777777" w:rsidR="00E46D24" w:rsidRPr="00CC68F3" w:rsidRDefault="00E46D24" w:rsidP="00CC68F3">
            <w:pPr>
              <w:ind w:left="360"/>
              <w:rPr>
                <w:rFonts w:asciiTheme="majorHAnsi" w:hAnsiTheme="majorHAnsi" w:cstheme="majorHAnsi"/>
                <w:lang w:val="fr-CA"/>
              </w:rPr>
            </w:pPr>
          </w:p>
          <w:p w14:paraId="50F3EBF1" w14:textId="77777777" w:rsidR="008D28EF" w:rsidRPr="000B3CD1" w:rsidRDefault="008D28EF" w:rsidP="00F368B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>Dépenses non admissibles :</w:t>
            </w:r>
          </w:p>
          <w:p w14:paraId="38AF6035" w14:textId="168E8528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Tous les frais liés au fonctionnement courant de l’organisme ou relevant d’activités récurrentes</w:t>
            </w:r>
            <w:r w:rsidR="00327C83"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(voir lexique en ANNEXE </w:t>
            </w:r>
            <w:r w:rsidR="000B3CD1"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1</w:t>
            </w:r>
            <w:r w:rsidR="00327C83"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)</w:t>
            </w: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;</w:t>
            </w:r>
          </w:p>
          <w:p w14:paraId="3B0A9B0F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Mobilier de bureau;</w:t>
            </w:r>
          </w:p>
          <w:p w14:paraId="20EB6512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Distribution de denrées alimentaires ou fonds d’urgence destinés à autrui;</w:t>
            </w:r>
          </w:p>
          <w:p w14:paraId="0191161F" w14:textId="77777777" w:rsidR="008D28EF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Dépassements de coûts;</w:t>
            </w:r>
          </w:p>
          <w:p w14:paraId="1C93E06B" w14:textId="33BCCC9C" w:rsidR="007834EB" w:rsidRPr="007834EB" w:rsidRDefault="007834EB" w:rsidP="007834EB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Achat de boissons alcooli</w:t>
            </w:r>
            <w:r w:rsidRPr="00C379D9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sées</w:t>
            </w:r>
            <w:r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;</w:t>
            </w:r>
          </w:p>
          <w:p w14:paraId="360A47AE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Dépenses pour la construction ou la rénovation d’un bâtiment;  </w:t>
            </w:r>
          </w:p>
          <w:p w14:paraId="436C9C54" w14:textId="46D6B699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Dépenses déjà réalisées et dépenses pour lesquelles l’organisme a pris des engagements avant la signature du protocole</w:t>
            </w:r>
            <w:r w:rsidR="002F55F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;</w:t>
            </w:r>
          </w:p>
          <w:p w14:paraId="38B617B6" w14:textId="77777777" w:rsidR="008D28EF" w:rsidRPr="000B3CD1" w:rsidRDefault="008D28EF" w:rsidP="008D28E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Le déficit d’opération d’un organisme admissible, le remboursement d’emprunts ou le renflouement de son fonds de roulement; </w:t>
            </w:r>
          </w:p>
          <w:p w14:paraId="24021716" w14:textId="0A2653E8" w:rsidR="008D28EF" w:rsidRPr="00CB1306" w:rsidRDefault="008D28EF" w:rsidP="008D28EF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Partie des taxes (TPS et TVQ) que le bénéficiaire récupère des gouvernements</w:t>
            </w:r>
            <w:r w:rsidR="00AA6E0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;</w:t>
            </w:r>
          </w:p>
          <w:p w14:paraId="3CB868C0" w14:textId="3B1ECD65" w:rsidR="00CB1306" w:rsidRPr="000B3CD1" w:rsidRDefault="005F408D" w:rsidP="008D28EF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CA"/>
              </w:rPr>
            </w:pPr>
            <w:r w:rsidRPr="005F408D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Utilisation des fonds pour financer un appel de projets dans sa propre organisation.</w:t>
            </w:r>
          </w:p>
        </w:tc>
      </w:tr>
    </w:tbl>
    <w:p w14:paraId="46C42C4F" w14:textId="77777777" w:rsidR="004718DF" w:rsidRDefault="004718DF" w:rsidP="008D28EF">
      <w:pPr>
        <w:rPr>
          <w:b/>
          <w:bCs/>
          <w:color w:val="E29C1E"/>
          <w:sz w:val="20"/>
          <w:szCs w:val="20"/>
        </w:rPr>
      </w:pPr>
    </w:p>
    <w:p w14:paraId="12E4DFD9" w14:textId="77777777" w:rsidR="001055AF" w:rsidRDefault="001055AF" w:rsidP="008D28EF">
      <w:pPr>
        <w:rPr>
          <w:b/>
          <w:bCs/>
          <w:color w:val="E29C1E"/>
          <w:sz w:val="20"/>
          <w:szCs w:val="20"/>
        </w:rPr>
      </w:pPr>
    </w:p>
    <w:p w14:paraId="38CC1A80" w14:textId="77777777" w:rsidR="00AA6E01" w:rsidRDefault="00AA6E01" w:rsidP="008D28EF">
      <w:pPr>
        <w:rPr>
          <w:b/>
          <w:bCs/>
          <w:color w:val="E29C1E"/>
          <w:sz w:val="20"/>
          <w:szCs w:val="20"/>
        </w:rPr>
      </w:pPr>
    </w:p>
    <w:p w14:paraId="6453ADCB" w14:textId="77777777" w:rsidR="00AA6E01" w:rsidRDefault="00AA6E01" w:rsidP="008D28EF">
      <w:pPr>
        <w:rPr>
          <w:b/>
          <w:bCs/>
          <w:color w:val="E29C1E"/>
          <w:sz w:val="20"/>
          <w:szCs w:val="20"/>
        </w:rPr>
      </w:pPr>
    </w:p>
    <w:p w14:paraId="07EC567E" w14:textId="77777777" w:rsidR="00AA6E01" w:rsidRDefault="00AA6E01" w:rsidP="008D28EF">
      <w:pPr>
        <w:rPr>
          <w:b/>
          <w:bCs/>
          <w:color w:val="E29C1E"/>
          <w:sz w:val="20"/>
          <w:szCs w:val="20"/>
        </w:rPr>
      </w:pPr>
    </w:p>
    <w:p w14:paraId="03BB0FED" w14:textId="77777777" w:rsidR="00AA6E01" w:rsidRDefault="00AA6E01" w:rsidP="008D28EF">
      <w:pPr>
        <w:rPr>
          <w:b/>
          <w:bCs/>
          <w:color w:val="E29C1E"/>
          <w:sz w:val="20"/>
          <w:szCs w:val="20"/>
        </w:rPr>
      </w:pPr>
    </w:p>
    <w:p w14:paraId="784F85A3" w14:textId="77777777" w:rsidR="00AA6E01" w:rsidRDefault="00AA6E01" w:rsidP="008D28EF">
      <w:pPr>
        <w:rPr>
          <w:b/>
          <w:bCs/>
          <w:color w:val="E29C1E"/>
          <w:sz w:val="20"/>
          <w:szCs w:val="20"/>
        </w:rPr>
      </w:pPr>
    </w:p>
    <w:p w14:paraId="6D5B76FE" w14:textId="77777777" w:rsidR="00AA6E01" w:rsidRPr="00495684" w:rsidRDefault="00AA6E01" w:rsidP="008D28EF">
      <w:pPr>
        <w:rPr>
          <w:b/>
          <w:bCs/>
          <w:color w:val="E29C1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382"/>
      </w:tblGrid>
      <w:tr w:rsidR="008D28EF" w:rsidRPr="005823E6" w14:paraId="72DCD50C" w14:textId="77777777" w:rsidTr="00F5598E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855E91D" w14:textId="77777777" w:rsidR="008D28EF" w:rsidRPr="003A666C" w:rsidRDefault="008D28EF" w:rsidP="00F368B2">
            <w:pPr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</w:pPr>
            <w:r w:rsidRPr="003A666C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lastRenderedPageBreak/>
              <w:t>Dates importantes à retenir :</w:t>
            </w:r>
          </w:p>
        </w:tc>
      </w:tr>
      <w:tr w:rsidR="00BE138E" w:rsidRPr="0080458C" w14:paraId="1070BA14" w14:textId="77777777" w:rsidTr="00AD2348">
        <w:tc>
          <w:tcPr>
            <w:tcW w:w="4248" w:type="dxa"/>
            <w:tcBorders>
              <w:bottom w:val="single" w:sz="4" w:space="0" w:color="auto"/>
            </w:tcBorders>
          </w:tcPr>
          <w:p w14:paraId="4C09BF97" w14:textId="122DF3C6" w:rsidR="00BE138E" w:rsidRPr="00BE138E" w:rsidRDefault="007C4A34" w:rsidP="00BE138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3 juin</w:t>
            </w:r>
            <w:r w:rsidR="00BE138E" w:rsidRPr="00885BFA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</w:t>
            </w:r>
            <w:r w:rsidR="00BE138E" w:rsidRPr="00BE138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2025 à 9h par TEAMS</w:t>
            </w:r>
          </w:p>
          <w:p w14:paraId="229DAD94" w14:textId="238AE843" w:rsidR="00AD2348" w:rsidRPr="00625404" w:rsidRDefault="00BE138E" w:rsidP="00BE138E">
            <w:pPr>
              <w:jc w:val="both"/>
              <w:rPr>
                <w:lang w:val="fr-CA"/>
              </w:rPr>
            </w:pPr>
            <w:r w:rsidRPr="00BE138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Inscription :  </w:t>
            </w:r>
          </w:p>
          <w:p w14:paraId="21824189" w14:textId="77777777" w:rsidR="00CC4CC5" w:rsidRDefault="007C4A34" w:rsidP="00625404">
            <w:pPr>
              <w:jc w:val="both"/>
            </w:pPr>
            <w:hyperlink r:id="rId8" w:tgtFrame="_blank" w:history="1">
              <w:r w:rsidRPr="007C4A34">
                <w:rPr>
                  <w:rStyle w:val="Lienhypertexte"/>
                  <w:lang w:val="fr-CA"/>
                </w:rPr>
                <w:t>https://forms.gle/FD6CGCegzrWGjSQh6</w:t>
              </w:r>
            </w:hyperlink>
          </w:p>
          <w:p w14:paraId="587CE6C0" w14:textId="5CE72107" w:rsidR="007C4A34" w:rsidRPr="00625404" w:rsidRDefault="007C4A34" w:rsidP="00625404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35EAEC1C" w14:textId="0878708A" w:rsidR="00BE138E" w:rsidRPr="00B14AEF" w:rsidRDefault="00BE138E" w:rsidP="00B14AE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Présentation du cadre de financement </w:t>
            </w:r>
          </w:p>
        </w:tc>
      </w:tr>
      <w:tr w:rsidR="00BE138E" w:rsidRPr="0080458C" w14:paraId="0855001A" w14:textId="77777777" w:rsidTr="00AD2348">
        <w:tc>
          <w:tcPr>
            <w:tcW w:w="4248" w:type="dxa"/>
            <w:tcBorders>
              <w:bottom w:val="single" w:sz="4" w:space="0" w:color="auto"/>
            </w:tcBorders>
          </w:tcPr>
          <w:p w14:paraId="38C8EE51" w14:textId="38DD1B25" w:rsidR="00BE138E" w:rsidRPr="00B14AEF" w:rsidRDefault="00BE138E" w:rsidP="00BE138E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4A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 septembre 2025 à 17h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21A66A9E" w14:textId="74621764" w:rsidR="00BE138E" w:rsidRPr="00B14AEF" w:rsidRDefault="00BE138E" w:rsidP="00B14AE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Dépôt du projet par le promoteur à la Démarche mauricienne</w:t>
            </w:r>
          </w:p>
        </w:tc>
      </w:tr>
      <w:tr w:rsidR="00BE138E" w:rsidRPr="0080458C" w14:paraId="27646E17" w14:textId="77777777" w:rsidTr="00AD2348">
        <w:tc>
          <w:tcPr>
            <w:tcW w:w="4248" w:type="dxa"/>
            <w:tcBorders>
              <w:bottom w:val="single" w:sz="4" w:space="0" w:color="auto"/>
            </w:tcBorders>
          </w:tcPr>
          <w:p w14:paraId="1A0294B0" w14:textId="4DB743CE" w:rsidR="00BE138E" w:rsidRPr="00BE138E" w:rsidRDefault="00BE138E" w:rsidP="00BE138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E138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Entre le 15 septembre et le 3 octobre 2025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0D76F367" w14:textId="442C4EFE" w:rsidR="00BE138E" w:rsidRPr="00B14AEF" w:rsidRDefault="00BE138E" w:rsidP="00B14AE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Analyse des projets par le comité de pilotage</w:t>
            </w:r>
          </w:p>
        </w:tc>
      </w:tr>
      <w:tr w:rsidR="00BE138E" w:rsidRPr="0080458C" w14:paraId="097D2451" w14:textId="77777777" w:rsidTr="00AD2348">
        <w:tc>
          <w:tcPr>
            <w:tcW w:w="4248" w:type="dxa"/>
            <w:tcBorders>
              <w:bottom w:val="single" w:sz="4" w:space="0" w:color="auto"/>
            </w:tcBorders>
          </w:tcPr>
          <w:p w14:paraId="73A55923" w14:textId="13ACA4C7" w:rsidR="00BE138E" w:rsidRPr="00BE138E" w:rsidRDefault="00BE138E" w:rsidP="00BE138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E138E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Dans la semaine du 13 octobre</w:t>
            </w:r>
            <w:r w:rsidR="00C046BC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</w:t>
            </w:r>
            <w:r w:rsid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2025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3ED84288" w14:textId="3EDE5CA7" w:rsidR="00BE138E" w:rsidRPr="00B14AEF" w:rsidRDefault="00BE138E" w:rsidP="00B14AE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Annonce des projets retenus</w:t>
            </w:r>
          </w:p>
        </w:tc>
      </w:tr>
      <w:tr w:rsidR="00A13D04" w:rsidRPr="0080458C" w14:paraId="6401408B" w14:textId="77777777" w:rsidTr="00AD2348"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27FF7765" w14:textId="08D5F4D8" w:rsidR="00A13D04" w:rsidRPr="00B14AEF" w:rsidRDefault="00A13D04" w:rsidP="00A13D04">
            <w:pPr>
              <w:jc w:val="both"/>
              <w:rPr>
                <w:rFonts w:asciiTheme="majorHAnsi" w:hAnsiTheme="majorHAnsi" w:cstheme="majorHAnsi"/>
              </w:rPr>
            </w:pPr>
            <w:r w:rsidRPr="00A13D04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Semaine des 20 et 27 octobre 2025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0E9422A1" w14:textId="1851101B" w:rsidR="00A13D04" w:rsidRPr="00A13D04" w:rsidRDefault="00A13D04" w:rsidP="00A13D04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A13D04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Signature des protocoles d’entente </w:t>
            </w:r>
          </w:p>
        </w:tc>
      </w:tr>
      <w:tr w:rsidR="00A13D04" w:rsidRPr="0080458C" w14:paraId="6E495EBA" w14:textId="77777777" w:rsidTr="00AD2348">
        <w:tc>
          <w:tcPr>
            <w:tcW w:w="4248" w:type="dxa"/>
            <w:tcBorders>
              <w:bottom w:val="single" w:sz="4" w:space="0" w:color="auto"/>
            </w:tcBorders>
          </w:tcPr>
          <w:p w14:paraId="0561A1AF" w14:textId="545733F9" w:rsidR="00A13D04" w:rsidRPr="00A13D04" w:rsidRDefault="00A13D04" w:rsidP="00A13D04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A13D04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Début novembre 2025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431A9816" w14:textId="3E21849C" w:rsidR="00A13D04" w:rsidRPr="00B14AEF" w:rsidRDefault="00A13D04" w:rsidP="00A13D04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Décaissement du 1er versement (80% à la signature du protocole d’entente)</w:t>
            </w:r>
          </w:p>
        </w:tc>
      </w:tr>
      <w:tr w:rsidR="00A13D04" w:rsidRPr="0080458C" w14:paraId="27C2D58E" w14:textId="77777777" w:rsidTr="00AD2348">
        <w:tc>
          <w:tcPr>
            <w:tcW w:w="4248" w:type="dxa"/>
            <w:tcBorders>
              <w:bottom w:val="single" w:sz="4" w:space="0" w:color="auto"/>
            </w:tcBorders>
          </w:tcPr>
          <w:p w14:paraId="70427E30" w14:textId="726A406B" w:rsidR="00A13D04" w:rsidRPr="00A13D04" w:rsidRDefault="00A13D04" w:rsidP="00A13D04">
            <w:pPr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A13D04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Début décembre 2026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598D9610" w14:textId="7DF83A30" w:rsidR="00A13D04" w:rsidRPr="00B14AEF" w:rsidRDefault="00A13D04" w:rsidP="00A13D04">
            <w:pPr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B14AEF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Décaissement du 2e versement (20% lors du dépôt de la reddition de comptes maximum le 30 novembre 2026)</w:t>
            </w:r>
          </w:p>
        </w:tc>
      </w:tr>
      <w:tr w:rsidR="00A13D04" w:rsidRPr="0080458C" w14:paraId="76EC9958" w14:textId="77777777" w:rsidTr="00BE138E">
        <w:tc>
          <w:tcPr>
            <w:tcW w:w="8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0236B" w14:textId="77777777" w:rsidR="00A13D04" w:rsidRDefault="00A13D04" w:rsidP="00A13D04">
            <w:pPr>
              <w:rPr>
                <w:rFonts w:cstheme="minorHAnsi"/>
                <w:b/>
                <w:bCs/>
                <w:smallCaps/>
                <w:lang w:val="fr-CA"/>
              </w:rPr>
            </w:pPr>
          </w:p>
          <w:p w14:paraId="357C26E3" w14:textId="77777777" w:rsidR="00AA6E01" w:rsidRPr="0055106A" w:rsidRDefault="00AA6E01" w:rsidP="00A13D04">
            <w:pPr>
              <w:rPr>
                <w:rFonts w:cstheme="minorHAnsi"/>
                <w:b/>
                <w:bCs/>
                <w:smallCaps/>
                <w:lang w:val="fr-CA"/>
              </w:rPr>
            </w:pPr>
          </w:p>
        </w:tc>
      </w:tr>
      <w:tr w:rsidR="00A13D04" w:rsidRPr="0080458C" w14:paraId="15B347DF" w14:textId="77777777" w:rsidTr="00F5598E">
        <w:tc>
          <w:tcPr>
            <w:tcW w:w="8630" w:type="dxa"/>
            <w:gridSpan w:val="2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73CCDFD1" w14:textId="213952ED" w:rsidR="00A13D04" w:rsidRPr="003A666C" w:rsidRDefault="00A13D04" w:rsidP="00A13D04">
            <w:pPr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</w:pPr>
            <w:r w:rsidRPr="003A666C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>Documents à joindre à la demande de soutien financier</w:t>
            </w:r>
            <w:r w:rsidR="003A666C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> :</w:t>
            </w:r>
          </w:p>
        </w:tc>
      </w:tr>
      <w:tr w:rsidR="00A13D04" w:rsidRPr="0080458C" w14:paraId="4E4144F7" w14:textId="77777777" w:rsidTr="00BE138E">
        <w:trPr>
          <w:trHeight w:val="1553"/>
        </w:trPr>
        <w:tc>
          <w:tcPr>
            <w:tcW w:w="8630" w:type="dxa"/>
            <w:gridSpan w:val="2"/>
          </w:tcPr>
          <w:p w14:paraId="19D8E9F1" w14:textId="6D5519A1" w:rsidR="00A13D04" w:rsidRPr="000B3CD1" w:rsidRDefault="00A13D04" w:rsidP="00A13D0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>Le formulaire de dépôt de projet 2025 dûment rempli;</w:t>
            </w:r>
          </w:p>
          <w:p w14:paraId="3193714F" w14:textId="551F3DF3" w:rsidR="00A13D04" w:rsidRPr="000B3CD1" w:rsidRDefault="00A13D04" w:rsidP="00A13D0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>Le formulaire de budget 2025 dûment rempli;</w:t>
            </w:r>
          </w:p>
          <w:p w14:paraId="006EA45E" w14:textId="77777777" w:rsidR="00A13D04" w:rsidRPr="000B3CD1" w:rsidRDefault="00A13D04" w:rsidP="00A13D0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>Une copie de la résolution du conseil d’administration du fiduciaire autorisant le dépôt et désignant un signataire;</w:t>
            </w:r>
          </w:p>
          <w:p w14:paraId="31489AEB" w14:textId="77777777" w:rsidR="00A13D04" w:rsidRPr="000B3CD1" w:rsidRDefault="00A13D04" w:rsidP="00A13D0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Les états financiers de la dernière année et le rapport annuel. </w:t>
            </w:r>
          </w:p>
          <w:p w14:paraId="685B293E" w14:textId="1BF0242A" w:rsidR="00A13D04" w:rsidRPr="000B3CD1" w:rsidRDefault="00A13D04" w:rsidP="00A13D0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Être disponible pour une présentation de votre projet au comité de sélection entre les </w:t>
            </w:r>
            <w:r w:rsidRPr="0082448C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15 septembre et le 3 octobre 202</w:t>
            </w:r>
            <w:r w:rsidRPr="00084A04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5</w:t>
            </w:r>
            <w:r w:rsidRPr="00084A04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. </w:t>
            </w: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>(</w:t>
            </w:r>
            <w:r>
              <w:rPr>
                <w:rFonts w:asciiTheme="majorHAnsi" w:hAnsiTheme="majorHAnsi"/>
                <w:sz w:val="24"/>
                <w:szCs w:val="24"/>
                <w:lang w:val="fr-CA"/>
              </w:rPr>
              <w:t>Si nécessaire</w:t>
            </w: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>)</w:t>
            </w:r>
          </w:p>
          <w:p w14:paraId="2FA45442" w14:textId="5E9F2037" w:rsidR="00A13D04" w:rsidRPr="006E0B4E" w:rsidRDefault="00A13D04" w:rsidP="00A13D04">
            <w:pPr>
              <w:numPr>
                <w:ilvl w:val="0"/>
                <w:numId w:val="3"/>
              </w:numPr>
              <w:jc w:val="both"/>
              <w:rPr>
                <w:lang w:val="fr-CA"/>
              </w:rPr>
            </w:pPr>
            <w:r w:rsidRPr="000B3CD1">
              <w:rPr>
                <w:rFonts w:asciiTheme="majorHAnsi" w:hAnsiTheme="majorHAnsi"/>
                <w:sz w:val="24"/>
                <w:szCs w:val="24"/>
                <w:lang w:val="fr-CA"/>
              </w:rPr>
              <w:t>Être disponible pour une brève présentation d’un bilan du projet à la concertation locale de son territoire.</w:t>
            </w:r>
            <w:r>
              <w:rPr>
                <w:lang w:val="fr-CA"/>
              </w:rPr>
              <w:t xml:space="preserve">  </w:t>
            </w:r>
          </w:p>
        </w:tc>
      </w:tr>
    </w:tbl>
    <w:p w14:paraId="6704F278" w14:textId="77777777" w:rsidR="00B14AEF" w:rsidRDefault="00B14AEF" w:rsidP="008D28EF">
      <w:pPr>
        <w:rPr>
          <w:rFonts w:cstheme="minorHAnsi"/>
          <w:b/>
          <w:bCs/>
          <w:color w:val="E29C1E"/>
        </w:rPr>
      </w:pPr>
    </w:p>
    <w:p w14:paraId="334E0A0C" w14:textId="77777777" w:rsidR="00AA6E01" w:rsidRDefault="00AA6E01" w:rsidP="008D28EF">
      <w:pPr>
        <w:rPr>
          <w:rFonts w:cstheme="minorHAnsi"/>
          <w:b/>
          <w:bCs/>
          <w:color w:val="E29C1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D28EF" w:rsidRPr="0080458C" w14:paraId="0DDE037C" w14:textId="77777777" w:rsidTr="00F5598E">
        <w:tc>
          <w:tcPr>
            <w:tcW w:w="9350" w:type="dxa"/>
            <w:shd w:val="clear" w:color="auto" w:fill="C1E4F5" w:themeFill="accent1" w:themeFillTint="33"/>
          </w:tcPr>
          <w:p w14:paraId="3DDE227E" w14:textId="77777777" w:rsidR="008D28EF" w:rsidRPr="00F36534" w:rsidRDefault="008D28EF" w:rsidP="00F368B2">
            <w:pPr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</w:pPr>
            <w:r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>Date de dépôt à la Démarche mauricienne :</w:t>
            </w:r>
          </w:p>
        </w:tc>
      </w:tr>
      <w:tr w:rsidR="008D28EF" w:rsidRPr="000A5357" w14:paraId="436A8794" w14:textId="77777777" w:rsidTr="00F368B2">
        <w:tc>
          <w:tcPr>
            <w:tcW w:w="9350" w:type="dxa"/>
          </w:tcPr>
          <w:p w14:paraId="19385902" w14:textId="45A7D7F7" w:rsidR="008D28EF" w:rsidRPr="000B3CD1" w:rsidRDefault="008D28EF" w:rsidP="00F368B2">
            <w:pPr>
              <w:rPr>
                <w:rFonts w:asciiTheme="majorHAnsi" w:hAnsiTheme="majorHAnsi" w:cstheme="minorHAnsi"/>
                <w:sz w:val="28"/>
                <w:szCs w:val="28"/>
                <w:lang w:val="fr-CA"/>
              </w:rPr>
            </w:pPr>
            <w:r w:rsidRPr="0082448C">
              <w:rPr>
                <w:rFonts w:asciiTheme="majorHAnsi" w:hAnsiTheme="majorHAnsi" w:cstheme="minorHAnsi"/>
                <w:sz w:val="28"/>
                <w:szCs w:val="28"/>
                <w:lang w:val="fr-CA"/>
              </w:rPr>
              <w:t xml:space="preserve">Le </w:t>
            </w:r>
            <w:r w:rsidR="00601AAA" w:rsidRPr="0082448C">
              <w:rPr>
                <w:rFonts w:asciiTheme="majorHAnsi" w:hAnsiTheme="majorHAnsi" w:cstheme="minorHAnsi"/>
                <w:sz w:val="28"/>
                <w:szCs w:val="28"/>
                <w:lang w:val="fr-CA"/>
              </w:rPr>
              <w:t>12 septembre</w:t>
            </w:r>
            <w:r w:rsidRPr="0082448C">
              <w:rPr>
                <w:rFonts w:asciiTheme="majorHAnsi" w:hAnsiTheme="majorHAnsi" w:cstheme="minorHAnsi"/>
                <w:sz w:val="28"/>
                <w:szCs w:val="28"/>
                <w:lang w:val="fr-CA"/>
              </w:rPr>
              <w:t xml:space="preserve"> 2025</w:t>
            </w:r>
            <w:r w:rsidRPr="000B3CD1">
              <w:rPr>
                <w:rFonts w:asciiTheme="majorHAnsi" w:hAnsiTheme="majorHAnsi" w:cstheme="minorHAnsi"/>
                <w:sz w:val="28"/>
                <w:szCs w:val="28"/>
                <w:lang w:val="fr-CA"/>
              </w:rPr>
              <w:t xml:space="preserve">, 17h à l’adresse courriel suivante : </w:t>
            </w:r>
          </w:p>
          <w:p w14:paraId="21BB549B" w14:textId="77777777" w:rsidR="008D28EF" w:rsidRPr="000B3CD1" w:rsidRDefault="008D28EF" w:rsidP="00F368B2">
            <w:pPr>
              <w:rPr>
                <w:rFonts w:asciiTheme="majorHAnsi" w:hAnsiTheme="majorHAnsi" w:cstheme="minorHAnsi"/>
                <w:b/>
                <w:bCs/>
                <w:sz w:val="4"/>
                <w:szCs w:val="4"/>
                <w:lang w:val="fr-CA"/>
              </w:rPr>
            </w:pPr>
          </w:p>
          <w:p w14:paraId="0629A0A2" w14:textId="77777777" w:rsidR="00804257" w:rsidRDefault="008D28EF" w:rsidP="00F368B2">
            <w:pPr>
              <w:rPr>
                <w:rFonts w:asciiTheme="majorHAnsi" w:hAnsiTheme="majorHAnsi"/>
              </w:rPr>
            </w:pPr>
            <w:hyperlink r:id="rId9" w:history="1">
              <w:r w:rsidRPr="000B3CD1">
                <w:rPr>
                  <w:rStyle w:val="Lienhypertexte"/>
                  <w:rFonts w:asciiTheme="majorHAnsi" w:hAnsiTheme="majorHAnsi" w:cstheme="minorHAnsi"/>
                  <w:b/>
                  <w:bCs/>
                  <w:sz w:val="28"/>
                  <w:szCs w:val="28"/>
                  <w:lang w:val="fr-CA"/>
                </w:rPr>
                <w:t>coordination@demarchemauricienne.com</w:t>
              </w:r>
            </w:hyperlink>
          </w:p>
          <w:p w14:paraId="2AA97E99" w14:textId="3E3061BE" w:rsidR="000B3CD1" w:rsidRPr="000B3CD1" w:rsidRDefault="000B3CD1" w:rsidP="00F368B2"/>
        </w:tc>
      </w:tr>
    </w:tbl>
    <w:p w14:paraId="7CF73816" w14:textId="77777777" w:rsidR="00810DD6" w:rsidRDefault="00810DD6" w:rsidP="008D28EF">
      <w:pPr>
        <w:rPr>
          <w:rFonts w:cstheme="minorHAnsi"/>
          <w:b/>
          <w:bCs/>
          <w:color w:val="E29C1E"/>
        </w:rPr>
      </w:pPr>
    </w:p>
    <w:p w14:paraId="74CFDF6F" w14:textId="77777777" w:rsidR="00AA6E01" w:rsidRPr="006529DE" w:rsidRDefault="00AA6E01" w:rsidP="008D28EF">
      <w:pPr>
        <w:rPr>
          <w:rFonts w:cstheme="minorHAnsi"/>
          <w:b/>
          <w:bCs/>
          <w:color w:val="E29C1E"/>
        </w:rPr>
      </w:pPr>
    </w:p>
    <w:p w14:paraId="01D9448D" w14:textId="73ABAC2B" w:rsidR="00E9794B" w:rsidRDefault="008D28EF" w:rsidP="001B125B">
      <w:pPr>
        <w:jc w:val="both"/>
        <w:rPr>
          <w:rStyle w:val="Lienhypertexte"/>
          <w:rFonts w:asciiTheme="majorHAnsi" w:hAnsiTheme="majorHAnsi" w:cstheme="minorHAnsi"/>
        </w:rPr>
      </w:pPr>
      <w:r w:rsidRPr="000B3CD1">
        <w:rPr>
          <w:rFonts w:asciiTheme="majorHAnsi" w:hAnsiTheme="majorHAnsi" w:cstheme="minorHAnsi"/>
        </w:rPr>
        <w:t>La Démarche mauricienne</w:t>
      </w:r>
      <w:r w:rsidR="00E9794B">
        <w:rPr>
          <w:rFonts w:asciiTheme="majorHAnsi" w:hAnsiTheme="majorHAnsi" w:cstheme="minorHAnsi"/>
        </w:rPr>
        <w:t xml:space="preserve"> et </w:t>
      </w:r>
      <w:r w:rsidR="00B14AEF">
        <w:rPr>
          <w:rFonts w:asciiTheme="majorHAnsi" w:hAnsiTheme="majorHAnsi" w:cstheme="minorHAnsi"/>
        </w:rPr>
        <w:t>la personne coordonnant</w:t>
      </w:r>
      <w:r w:rsidR="00E9794B">
        <w:rPr>
          <w:rFonts w:asciiTheme="majorHAnsi" w:hAnsiTheme="majorHAnsi" w:cstheme="minorHAnsi"/>
        </w:rPr>
        <w:t xml:space="preserve"> la concertation locale de votre territoire</w:t>
      </w:r>
      <w:r w:rsidRPr="000B3CD1">
        <w:rPr>
          <w:rFonts w:asciiTheme="majorHAnsi" w:hAnsiTheme="majorHAnsi" w:cstheme="minorHAnsi"/>
        </w:rPr>
        <w:t xml:space="preserve"> peu</w:t>
      </w:r>
      <w:r w:rsidR="00E9794B">
        <w:rPr>
          <w:rFonts w:asciiTheme="majorHAnsi" w:hAnsiTheme="majorHAnsi" w:cstheme="minorHAnsi"/>
        </w:rPr>
        <w:t>vent</w:t>
      </w:r>
      <w:r w:rsidRPr="000B3CD1">
        <w:rPr>
          <w:rFonts w:asciiTheme="majorHAnsi" w:hAnsiTheme="majorHAnsi" w:cstheme="minorHAnsi"/>
        </w:rPr>
        <w:t xml:space="preserve"> vous accompagner dans votre démarche de présentation de projet. Vous pouvez contacter Maryse Fortin, coordonnatrice de la Démarche mauricienne par courriel à l’adresse suivante :</w:t>
      </w:r>
      <w:r w:rsidRPr="000B3CD1">
        <w:rPr>
          <w:rFonts w:asciiTheme="majorHAnsi" w:hAnsiTheme="majorHAnsi" w:cstheme="minorHAnsi"/>
          <w:b/>
          <w:bCs/>
        </w:rPr>
        <w:t xml:space="preserve"> </w:t>
      </w:r>
      <w:hyperlink r:id="rId10" w:history="1">
        <w:r w:rsidRPr="000B3CD1">
          <w:rPr>
            <w:rStyle w:val="Lienhypertexte"/>
            <w:rFonts w:asciiTheme="majorHAnsi" w:hAnsiTheme="majorHAnsi" w:cstheme="minorHAnsi"/>
          </w:rPr>
          <w:t>coordination@demarchemauricienne.com</w:t>
        </w:r>
      </w:hyperlink>
      <w:r w:rsidRPr="000B3CD1">
        <w:rPr>
          <w:rStyle w:val="Lienhypertexte"/>
          <w:rFonts w:asciiTheme="majorHAnsi" w:hAnsiTheme="majorHAnsi" w:cstheme="minorHAnsi"/>
        </w:rPr>
        <w:t>.</w:t>
      </w:r>
    </w:p>
    <w:p w14:paraId="5CC171FD" w14:textId="77777777" w:rsidR="00810DD6" w:rsidRDefault="00810DD6" w:rsidP="001B125B">
      <w:pPr>
        <w:jc w:val="both"/>
        <w:rPr>
          <w:rStyle w:val="Lienhypertexte"/>
          <w:rFonts w:asciiTheme="majorHAnsi" w:hAnsiTheme="majorHAnsi" w:cstheme="minorHAnsi"/>
        </w:rPr>
      </w:pPr>
    </w:p>
    <w:p w14:paraId="6876F87C" w14:textId="77777777" w:rsidR="00AA6E01" w:rsidRDefault="00AA6E01" w:rsidP="001B125B">
      <w:pPr>
        <w:jc w:val="both"/>
        <w:rPr>
          <w:rStyle w:val="Lienhypertexte"/>
          <w:rFonts w:asciiTheme="majorHAnsi" w:hAnsiTheme="majorHAnsi"/>
        </w:rPr>
      </w:pPr>
    </w:p>
    <w:p w14:paraId="03B91545" w14:textId="77777777" w:rsidR="00AA6E01" w:rsidRDefault="00AA6E01" w:rsidP="001B125B">
      <w:pPr>
        <w:jc w:val="both"/>
        <w:rPr>
          <w:rStyle w:val="Lienhypertexte"/>
          <w:rFonts w:asciiTheme="majorHAnsi" w:hAnsiTheme="majorHAnsi" w:cstheme="minorHAnsi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2263"/>
        <w:gridCol w:w="2835"/>
        <w:gridCol w:w="3828"/>
      </w:tblGrid>
      <w:tr w:rsidR="00165F93" w:rsidRPr="007E3FB8" w14:paraId="0030CB30" w14:textId="77777777" w:rsidTr="0037278B">
        <w:tc>
          <w:tcPr>
            <w:tcW w:w="8926" w:type="dxa"/>
            <w:gridSpan w:val="3"/>
            <w:shd w:val="clear" w:color="auto" w:fill="C1E4F5" w:themeFill="accent1" w:themeFillTint="33"/>
          </w:tcPr>
          <w:p w14:paraId="12955C29" w14:textId="77777777" w:rsidR="00B14AEF" w:rsidRPr="00F36534" w:rsidRDefault="00165F93" w:rsidP="009C761E">
            <w:pPr>
              <w:jc w:val="center"/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</w:pPr>
            <w:r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lastRenderedPageBreak/>
              <w:t xml:space="preserve">Coordonnées des </w:t>
            </w:r>
            <w:r w:rsidR="00B14AEF"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>personnes coordonnant</w:t>
            </w:r>
            <w:r w:rsidR="00810DD6"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 xml:space="preserve"> </w:t>
            </w:r>
            <w:r w:rsidR="00B14AEF"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>l</w:t>
            </w:r>
            <w:r w:rsidR="00810DD6"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 xml:space="preserve">es concertations locales </w:t>
            </w:r>
          </w:p>
          <w:p w14:paraId="62C37A1E" w14:textId="6418482A" w:rsidR="00165F93" w:rsidRPr="005341F9" w:rsidRDefault="00810DD6" w:rsidP="009C761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fr-CA"/>
              </w:rPr>
            </w:pPr>
            <w:r w:rsidRPr="00F36534">
              <w:rPr>
                <w:rFonts w:cstheme="minorHAnsi"/>
                <w:b/>
                <w:bCs/>
                <w:smallCaps/>
                <w:sz w:val="24"/>
                <w:szCs w:val="24"/>
                <w:lang w:val="fr-CA"/>
              </w:rPr>
              <w:t>associées à la Démarche mauricienne</w:t>
            </w:r>
          </w:p>
        </w:tc>
      </w:tr>
      <w:tr w:rsidR="00165F93" w:rsidRPr="005341F9" w14:paraId="0315EBF3" w14:textId="77777777" w:rsidTr="0037278B">
        <w:tc>
          <w:tcPr>
            <w:tcW w:w="2263" w:type="dxa"/>
          </w:tcPr>
          <w:p w14:paraId="6AEF8E55" w14:textId="77777777" w:rsidR="00165F93" w:rsidRPr="005341F9" w:rsidRDefault="00165F93" w:rsidP="009C761E">
            <w:pPr>
              <w:rPr>
                <w:rFonts w:cstheme="minorHAnsi"/>
                <w:b/>
                <w:bCs/>
                <w:lang w:val="fr-CA"/>
              </w:rPr>
            </w:pPr>
            <w:r w:rsidRPr="005341F9">
              <w:rPr>
                <w:rFonts w:cstheme="minorHAnsi"/>
                <w:b/>
                <w:bCs/>
                <w:lang w:val="fr-CA"/>
              </w:rPr>
              <w:t>Territoire</w:t>
            </w:r>
          </w:p>
        </w:tc>
        <w:tc>
          <w:tcPr>
            <w:tcW w:w="2835" w:type="dxa"/>
          </w:tcPr>
          <w:p w14:paraId="03343EEE" w14:textId="77777777" w:rsidR="00165F93" w:rsidRPr="005341F9" w:rsidRDefault="00165F93" w:rsidP="009C761E">
            <w:pPr>
              <w:rPr>
                <w:rFonts w:cstheme="minorHAnsi"/>
                <w:b/>
                <w:bCs/>
                <w:lang w:val="fr-CA"/>
              </w:rPr>
            </w:pPr>
            <w:r w:rsidRPr="005341F9">
              <w:rPr>
                <w:rFonts w:cstheme="minorHAnsi"/>
                <w:b/>
                <w:bCs/>
                <w:lang w:val="fr-CA"/>
              </w:rPr>
              <w:t>Nom de la coordination</w:t>
            </w:r>
          </w:p>
        </w:tc>
        <w:tc>
          <w:tcPr>
            <w:tcW w:w="3828" w:type="dxa"/>
          </w:tcPr>
          <w:p w14:paraId="065EEF7B" w14:textId="77777777" w:rsidR="00165F93" w:rsidRPr="005341F9" w:rsidRDefault="00165F93" w:rsidP="009C761E">
            <w:pPr>
              <w:rPr>
                <w:rFonts w:cstheme="minorHAnsi"/>
                <w:b/>
                <w:bCs/>
                <w:lang w:val="fr-CA"/>
              </w:rPr>
            </w:pPr>
            <w:r w:rsidRPr="005341F9">
              <w:rPr>
                <w:rFonts w:cstheme="minorHAnsi"/>
                <w:b/>
                <w:bCs/>
                <w:lang w:val="fr-CA"/>
              </w:rPr>
              <w:t>Adresse courriel</w:t>
            </w:r>
          </w:p>
        </w:tc>
      </w:tr>
      <w:tr w:rsidR="00165F93" w:rsidRPr="005341F9" w14:paraId="04CDD22A" w14:textId="77777777" w:rsidTr="0037278B">
        <w:tc>
          <w:tcPr>
            <w:tcW w:w="2263" w:type="dxa"/>
          </w:tcPr>
          <w:p w14:paraId="7B097E77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Ville de Trois-Rivières</w:t>
            </w:r>
          </w:p>
        </w:tc>
        <w:tc>
          <w:tcPr>
            <w:tcW w:w="2835" w:type="dxa"/>
          </w:tcPr>
          <w:p w14:paraId="43C703AD" w14:textId="77777777" w:rsidR="00165F93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Véronique Angers</w:t>
            </w:r>
          </w:p>
          <w:p w14:paraId="36458AD4" w14:textId="13553066" w:rsidR="00F709F6" w:rsidRPr="005341F9" w:rsidRDefault="00F709F6" w:rsidP="009C761E">
            <w:pPr>
              <w:rPr>
                <w:rFonts w:cstheme="minorHAnsi"/>
                <w:lang w:val="fr-CA"/>
              </w:rPr>
            </w:pPr>
            <w:r>
              <w:rPr>
                <w:rFonts w:cstheme="minorHAnsi"/>
                <w:lang w:val="fr-CA"/>
              </w:rPr>
              <w:t>Élise-Laurence Pauzé-Guay</w:t>
            </w:r>
          </w:p>
        </w:tc>
        <w:tc>
          <w:tcPr>
            <w:tcW w:w="3828" w:type="dxa"/>
          </w:tcPr>
          <w:p w14:paraId="455D9F69" w14:textId="77777777" w:rsidR="00165F93" w:rsidRPr="00E17D22" w:rsidRDefault="00165F93" w:rsidP="009C761E">
            <w:pPr>
              <w:rPr>
                <w:lang w:val="fr-CA"/>
              </w:rPr>
            </w:pPr>
            <w:hyperlink r:id="rId11" w:history="1">
              <w:r w:rsidRPr="00E17D22">
                <w:rPr>
                  <w:rStyle w:val="Lienhypertexte"/>
                  <w:rFonts w:cstheme="minorHAnsi"/>
                  <w:color w:val="auto"/>
                  <w:lang w:val="fr-CA" w:eastAsia="fr-CA"/>
                  <w14:ligatures w14:val="none"/>
                </w:rPr>
                <w:t>vangers@v3r.net</w:t>
              </w:r>
            </w:hyperlink>
          </w:p>
          <w:p w14:paraId="24EBCABF" w14:textId="6B09092E" w:rsidR="0035263B" w:rsidRPr="00E17D22" w:rsidRDefault="0035263B" w:rsidP="009C761E">
            <w:pPr>
              <w:rPr>
                <w:u w:val="single"/>
                <w:lang w:val="fr-CA"/>
              </w:rPr>
            </w:pPr>
            <w:r w:rsidRPr="00E17D22">
              <w:rPr>
                <w:u w:val="single"/>
                <w:lang w:val="fr-CA"/>
              </w:rPr>
              <w:t>epauze-guay@v3r.net</w:t>
            </w:r>
          </w:p>
        </w:tc>
      </w:tr>
      <w:tr w:rsidR="00165F93" w:rsidRPr="005341F9" w14:paraId="31D2D367" w14:textId="77777777" w:rsidTr="0037278B">
        <w:tc>
          <w:tcPr>
            <w:tcW w:w="2263" w:type="dxa"/>
          </w:tcPr>
          <w:p w14:paraId="67044163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Ville de Shawinigan</w:t>
            </w:r>
          </w:p>
        </w:tc>
        <w:tc>
          <w:tcPr>
            <w:tcW w:w="2835" w:type="dxa"/>
          </w:tcPr>
          <w:p w14:paraId="294D72A5" w14:textId="02B7DDA4" w:rsidR="00165F93" w:rsidRPr="005341F9" w:rsidRDefault="007016B7" w:rsidP="009C761E">
            <w:pPr>
              <w:rPr>
                <w:rFonts w:cstheme="minorHAnsi"/>
                <w:lang w:val="fr-CA"/>
              </w:rPr>
            </w:pPr>
            <w:r>
              <w:rPr>
                <w:rFonts w:cstheme="minorHAnsi"/>
                <w:lang w:val="fr-CA"/>
              </w:rPr>
              <w:t xml:space="preserve">Véronique </w:t>
            </w:r>
            <w:r w:rsidR="0037278B">
              <w:rPr>
                <w:rFonts w:cstheme="minorHAnsi"/>
                <w:lang w:val="fr-CA"/>
              </w:rPr>
              <w:t>Granger</w:t>
            </w:r>
            <w:r w:rsidR="007B6BEF">
              <w:rPr>
                <w:rFonts w:cstheme="minorHAnsi"/>
                <w:lang w:val="fr-CA"/>
              </w:rPr>
              <w:t>-</w:t>
            </w:r>
            <w:r w:rsidR="0037278B">
              <w:rPr>
                <w:rFonts w:cstheme="minorHAnsi"/>
                <w:lang w:val="fr-CA"/>
              </w:rPr>
              <w:t>Brodeur</w:t>
            </w:r>
          </w:p>
        </w:tc>
        <w:tc>
          <w:tcPr>
            <w:tcW w:w="3828" w:type="dxa"/>
          </w:tcPr>
          <w:p w14:paraId="1B33EB33" w14:textId="14B3DBDC" w:rsidR="00165F93" w:rsidRPr="005341F9" w:rsidRDefault="007016B7" w:rsidP="009C761E">
            <w:pPr>
              <w:rPr>
                <w:rFonts w:cstheme="minorHAnsi"/>
                <w:lang w:eastAsia="fr-CA"/>
                <w14:ligatures w14:val="none"/>
              </w:rPr>
            </w:pPr>
            <w:hyperlink r:id="rId12" w:history="1">
              <w:r w:rsidRPr="00071C5B">
                <w:rPr>
                  <w:rStyle w:val="Lienhypertexte"/>
                  <w:color w:val="auto"/>
                  <w:lang w:val="fr-CA"/>
                </w:rPr>
                <w:t>complice@cdcshawinigan.ca</w:t>
              </w:r>
            </w:hyperlink>
            <w:r w:rsidRPr="00071C5B">
              <w:rPr>
                <w:lang w:val="fr-CA"/>
              </w:rPr>
              <w:t> </w:t>
            </w:r>
          </w:p>
        </w:tc>
      </w:tr>
      <w:tr w:rsidR="00165F93" w:rsidRPr="005341F9" w14:paraId="5DBC0439" w14:textId="77777777" w:rsidTr="0037278B">
        <w:tc>
          <w:tcPr>
            <w:tcW w:w="2263" w:type="dxa"/>
          </w:tcPr>
          <w:p w14:paraId="0004E206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Ville de La Tuque</w:t>
            </w:r>
          </w:p>
        </w:tc>
        <w:tc>
          <w:tcPr>
            <w:tcW w:w="2835" w:type="dxa"/>
          </w:tcPr>
          <w:p w14:paraId="565FBE38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Estelle Espanet</w:t>
            </w:r>
          </w:p>
        </w:tc>
        <w:tc>
          <w:tcPr>
            <w:tcW w:w="3828" w:type="dxa"/>
          </w:tcPr>
          <w:p w14:paraId="32115379" w14:textId="1FA72DCC" w:rsidR="00165F93" w:rsidRPr="00BC7CDF" w:rsidRDefault="00E17D22" w:rsidP="009C761E">
            <w:pPr>
              <w:rPr>
                <w:rStyle w:val="Lienhypertexte"/>
                <w:color w:val="auto"/>
                <w:lang w:val="fr-CA"/>
              </w:rPr>
            </w:pPr>
            <w:hyperlink r:id="rId13" w:history="1">
              <w:r w:rsidRPr="00BC7CDF">
                <w:rPr>
                  <w:rStyle w:val="Lienhypertexte"/>
                  <w:color w:val="auto"/>
                  <w:lang w:val="fr-CA"/>
                </w:rPr>
                <w:t>reussite.educative@cdclatuque.ca</w:t>
              </w:r>
            </w:hyperlink>
          </w:p>
        </w:tc>
      </w:tr>
      <w:tr w:rsidR="00165F93" w:rsidRPr="005341F9" w14:paraId="28158CB2" w14:textId="77777777" w:rsidTr="0037278B">
        <w:tc>
          <w:tcPr>
            <w:tcW w:w="2263" w:type="dxa"/>
          </w:tcPr>
          <w:p w14:paraId="10FAF28D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MRC des Chenaux</w:t>
            </w:r>
          </w:p>
        </w:tc>
        <w:tc>
          <w:tcPr>
            <w:tcW w:w="2835" w:type="dxa"/>
          </w:tcPr>
          <w:p w14:paraId="0637B7A9" w14:textId="47E13649" w:rsidR="00165F93" w:rsidRPr="005341F9" w:rsidRDefault="00734878" w:rsidP="009C761E">
            <w:pPr>
              <w:rPr>
                <w:rFonts w:cstheme="minorHAnsi"/>
                <w:lang w:val="fr-CA"/>
              </w:rPr>
            </w:pPr>
            <w:r>
              <w:rPr>
                <w:rFonts w:cstheme="minorHAnsi"/>
                <w:lang w:val="fr-CA"/>
              </w:rPr>
              <w:t>Mya-Jade Robert</w:t>
            </w:r>
          </w:p>
        </w:tc>
        <w:tc>
          <w:tcPr>
            <w:tcW w:w="3828" w:type="dxa"/>
          </w:tcPr>
          <w:p w14:paraId="228D76DC" w14:textId="33E87C24" w:rsidR="00165F93" w:rsidRPr="005D09B3" w:rsidRDefault="0035263B" w:rsidP="009C761E">
            <w:pPr>
              <w:rPr>
                <w:rFonts w:cstheme="minorHAnsi"/>
                <w:u w:val="single"/>
                <w:bdr w:val="none" w:sz="0" w:space="0" w:color="auto" w:frame="1"/>
              </w:rPr>
            </w:pPr>
            <w:r w:rsidRPr="005D09B3">
              <w:rPr>
                <w:rFonts w:cstheme="minorHAnsi"/>
                <w:u w:val="single"/>
                <w:bdr w:val="none" w:sz="0" w:space="0" w:color="auto" w:frame="1"/>
              </w:rPr>
              <w:t>reussite@mrc</w:t>
            </w:r>
            <w:r w:rsidR="005D09B3" w:rsidRPr="005D09B3">
              <w:rPr>
                <w:rFonts w:cstheme="minorHAnsi"/>
                <w:u w:val="single"/>
                <w:bdr w:val="none" w:sz="0" w:space="0" w:color="auto" w:frame="1"/>
              </w:rPr>
              <w:t>deschenaux.ca</w:t>
            </w:r>
          </w:p>
        </w:tc>
      </w:tr>
      <w:tr w:rsidR="00165F93" w:rsidRPr="005341F9" w14:paraId="17968936" w14:textId="77777777" w:rsidTr="0037278B">
        <w:tc>
          <w:tcPr>
            <w:tcW w:w="2263" w:type="dxa"/>
          </w:tcPr>
          <w:p w14:paraId="5DC35A09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MRC de Mékinac</w:t>
            </w:r>
          </w:p>
        </w:tc>
        <w:tc>
          <w:tcPr>
            <w:tcW w:w="2835" w:type="dxa"/>
          </w:tcPr>
          <w:p w14:paraId="2A61EF27" w14:textId="238D1CDA" w:rsidR="00165F93" w:rsidRPr="005341F9" w:rsidRDefault="00734878" w:rsidP="009C761E">
            <w:pPr>
              <w:rPr>
                <w:rFonts w:cstheme="minorHAnsi"/>
                <w:lang w:val="fr-CA"/>
              </w:rPr>
            </w:pPr>
            <w:r>
              <w:rPr>
                <w:rFonts w:cstheme="minorHAnsi"/>
                <w:lang w:val="fr-CA"/>
              </w:rPr>
              <w:t>Laetitia Pantano</w:t>
            </w:r>
          </w:p>
        </w:tc>
        <w:tc>
          <w:tcPr>
            <w:tcW w:w="3828" w:type="dxa"/>
          </w:tcPr>
          <w:p w14:paraId="0A206385" w14:textId="2DA09528" w:rsidR="00165F93" w:rsidRPr="005D09B3" w:rsidRDefault="005D09B3" w:rsidP="009C761E">
            <w:pPr>
              <w:rPr>
                <w:rFonts w:cstheme="minorHAnsi"/>
                <w:u w:val="single"/>
                <w:lang w:val="fr-FR" w:eastAsia="fr-CA"/>
                <w14:ligatures w14:val="none"/>
              </w:rPr>
            </w:pPr>
            <w:r w:rsidRPr="005D09B3">
              <w:rPr>
                <w:rFonts w:cstheme="minorHAnsi"/>
                <w:u w:val="single"/>
                <w:lang w:val="fr-FR" w:eastAsia="fr-CA"/>
                <w14:ligatures w14:val="none"/>
              </w:rPr>
              <w:t>laetitia.pantano@mrcmekinac.com</w:t>
            </w:r>
          </w:p>
        </w:tc>
      </w:tr>
      <w:tr w:rsidR="00165F93" w:rsidRPr="001428C0" w14:paraId="1DF1BCAE" w14:textId="77777777" w:rsidTr="0037278B">
        <w:tc>
          <w:tcPr>
            <w:tcW w:w="2263" w:type="dxa"/>
          </w:tcPr>
          <w:p w14:paraId="051A9052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MRC de Maskinongé</w:t>
            </w:r>
          </w:p>
        </w:tc>
        <w:tc>
          <w:tcPr>
            <w:tcW w:w="2835" w:type="dxa"/>
          </w:tcPr>
          <w:p w14:paraId="671F5A00" w14:textId="77777777" w:rsidR="00165F93" w:rsidRPr="005341F9" w:rsidRDefault="00165F93" w:rsidP="009C761E">
            <w:pPr>
              <w:rPr>
                <w:rFonts w:cstheme="minorHAnsi"/>
                <w:lang w:val="fr-CA"/>
              </w:rPr>
            </w:pPr>
            <w:r w:rsidRPr="005341F9">
              <w:rPr>
                <w:rFonts w:cstheme="minorHAnsi"/>
                <w:lang w:val="fr-CA"/>
              </w:rPr>
              <w:t>Samuel Chartier-Trudel</w:t>
            </w:r>
          </w:p>
        </w:tc>
        <w:tc>
          <w:tcPr>
            <w:tcW w:w="3828" w:type="dxa"/>
          </w:tcPr>
          <w:p w14:paraId="38CCA564" w14:textId="3A1E2EBB" w:rsidR="00165F93" w:rsidRPr="00651207" w:rsidRDefault="00651207" w:rsidP="009C761E">
            <w:pPr>
              <w:rPr>
                <w:rFonts w:cstheme="minorHAnsi"/>
                <w:u w:val="single"/>
                <w:lang w:val="fr-CA" w:eastAsia="fr-CA"/>
                <w14:ligatures w14:val="none"/>
              </w:rPr>
            </w:pPr>
            <w:r w:rsidRPr="00651207">
              <w:rPr>
                <w:rFonts w:cstheme="minorHAnsi"/>
                <w:u w:val="single"/>
                <w:lang w:val="fr-CA" w:eastAsia="fr-CA"/>
                <w14:ligatures w14:val="none"/>
              </w:rPr>
              <w:t>agent2@rpdsmaskinonge.ca</w:t>
            </w:r>
          </w:p>
        </w:tc>
      </w:tr>
    </w:tbl>
    <w:p w14:paraId="11163653" w14:textId="77777777" w:rsidR="00E9794B" w:rsidRPr="000B3CD1" w:rsidRDefault="00E9794B" w:rsidP="001B125B">
      <w:pPr>
        <w:jc w:val="both"/>
        <w:rPr>
          <w:rStyle w:val="Lienhypertexte"/>
          <w:rFonts w:asciiTheme="majorHAnsi" w:hAnsiTheme="majorHAnsi" w:cstheme="minorHAnsi"/>
        </w:rPr>
      </w:pPr>
    </w:p>
    <w:p w14:paraId="0481EEE6" w14:textId="77777777" w:rsidR="008D28EF" w:rsidRPr="006529DE" w:rsidRDefault="008D28EF" w:rsidP="008D28EF">
      <w:pPr>
        <w:rPr>
          <w:rStyle w:val="Lienhypertexte"/>
          <w:rFonts w:cstheme="minorHAnsi"/>
        </w:rPr>
      </w:pPr>
    </w:p>
    <w:p w14:paraId="21378754" w14:textId="77777777" w:rsidR="00B14AEF" w:rsidRDefault="00B14AEF" w:rsidP="0014587A">
      <w:pPr>
        <w:jc w:val="both"/>
        <w:rPr>
          <w:rFonts w:asciiTheme="majorHAnsi" w:hAnsiTheme="majorHAnsi" w:cstheme="majorHAnsi"/>
          <w:b/>
          <w:bCs/>
        </w:rPr>
      </w:pPr>
    </w:p>
    <w:p w14:paraId="32AC9BCD" w14:textId="77777777" w:rsidR="00755AE4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3DC3BFBA" w14:textId="108ACF10" w:rsidR="00FC4103" w:rsidRPr="000B3CD1" w:rsidRDefault="00FC4103" w:rsidP="00FC4103">
      <w:pPr>
        <w:spacing w:after="200" w:line="276" w:lineRule="auto"/>
        <w:jc w:val="both"/>
        <w:rPr>
          <w:rFonts w:asciiTheme="majorHAnsi" w:hAnsiTheme="majorHAnsi" w:cstheme="majorHAnsi"/>
          <w:b/>
          <w:bCs/>
        </w:rPr>
      </w:pPr>
      <w:r w:rsidRPr="000B3CD1">
        <w:rPr>
          <w:rFonts w:asciiTheme="majorHAnsi" w:hAnsiTheme="majorHAnsi" w:cstheme="majorHAnsi"/>
          <w:b/>
          <w:bCs/>
        </w:rPr>
        <w:t>ANNEXE 1</w:t>
      </w:r>
    </w:p>
    <w:p w14:paraId="199F2661" w14:textId="77777777" w:rsidR="00FC4103" w:rsidRPr="000B3CD1" w:rsidRDefault="00FC4103" w:rsidP="00FC4103">
      <w:pPr>
        <w:spacing w:after="200" w:line="276" w:lineRule="auto"/>
        <w:jc w:val="both"/>
        <w:rPr>
          <w:rFonts w:asciiTheme="majorHAnsi" w:hAnsiTheme="majorHAnsi" w:cstheme="majorHAnsi"/>
          <w:b/>
          <w:bCs/>
        </w:rPr>
      </w:pPr>
      <w:r w:rsidRPr="000B3CD1">
        <w:rPr>
          <w:rFonts w:asciiTheme="majorHAnsi" w:hAnsiTheme="majorHAnsi" w:cstheme="majorHAnsi"/>
          <w:b/>
          <w:bCs/>
        </w:rPr>
        <w:t>Lexique</w:t>
      </w:r>
    </w:p>
    <w:p w14:paraId="09901415" w14:textId="77777777" w:rsidR="00FC4103" w:rsidRPr="000B3CD1" w:rsidRDefault="00FC4103" w:rsidP="00FC4103">
      <w:pPr>
        <w:rPr>
          <w:rFonts w:asciiTheme="majorHAnsi" w:hAnsiTheme="majorHAnsi"/>
          <w:b/>
          <w:bCs/>
        </w:rPr>
      </w:pPr>
      <w:r w:rsidRPr="000B3CD1">
        <w:rPr>
          <w:rFonts w:asciiTheme="majorHAnsi" w:hAnsiTheme="majorHAnsi"/>
          <w:b/>
          <w:bCs/>
        </w:rPr>
        <w:t>Projet concerté</w:t>
      </w:r>
    </w:p>
    <w:p w14:paraId="775F2FFC" w14:textId="77777777" w:rsidR="00FC4103" w:rsidRPr="000B3CD1" w:rsidRDefault="00FC4103" w:rsidP="00FC4103">
      <w:pPr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Un projet est considéré comme concerté lorsqu’il réunit l’ensemble des critères suivants : </w:t>
      </w:r>
    </w:p>
    <w:p w14:paraId="19C0C5E5" w14:textId="77777777" w:rsidR="00FC4103" w:rsidRPr="000B3CD1" w:rsidRDefault="00FC4103" w:rsidP="00FC410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Il répond à un besoin du milieu, poursuit l’intérêt collectif; </w:t>
      </w:r>
    </w:p>
    <w:p w14:paraId="137492AC" w14:textId="77777777" w:rsidR="00FC4103" w:rsidRPr="000B3CD1" w:rsidRDefault="00FC4103" w:rsidP="00FC410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Il est ancré au sein d’une concertation et ce, peu importe la provenance de l’idée initiale du projet, qu’elle soit proposée par une organisation ou issue d’une réflexion collective; </w:t>
      </w:r>
    </w:p>
    <w:p w14:paraId="7A2B97F6" w14:textId="77777777" w:rsidR="00FC4103" w:rsidRPr="000B3CD1" w:rsidRDefault="00FC4103" w:rsidP="00FC410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Au moins un organisme mandataire, désigné et soutenu par la concertation, mène la réalisation du projet et en assume la saine gestion;  </w:t>
      </w:r>
    </w:p>
    <w:p w14:paraId="7571C382" w14:textId="77777777" w:rsidR="00FC4103" w:rsidRDefault="00FC4103" w:rsidP="00FC410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Le mécanisme de suivi et le partage des responsabilités dans la réalisation du projet sont déterminés en amont, collectivement, et avec l’accord du mandataire.</w:t>
      </w:r>
    </w:p>
    <w:p w14:paraId="46771995" w14:textId="77777777" w:rsidR="006B0B56" w:rsidRDefault="006B0B56" w:rsidP="006B0B56">
      <w:pPr>
        <w:pStyle w:val="Paragraphedeliste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05707B66" w14:textId="621D473D" w:rsidR="006B0B56" w:rsidRPr="006B0B56" w:rsidRDefault="006B0B56" w:rsidP="006B0B56">
      <w:pPr>
        <w:autoSpaceDE w:val="0"/>
        <w:autoSpaceDN w:val="0"/>
        <w:adjustRightInd w:val="0"/>
        <w:rPr>
          <w:rFonts w:asciiTheme="majorHAnsi" w:hAnsiTheme="majorHAnsi"/>
          <w:sz w:val="16"/>
          <w:szCs w:val="16"/>
        </w:rPr>
      </w:pPr>
      <w:r w:rsidRPr="006B0B56">
        <w:rPr>
          <w:rFonts w:asciiTheme="majorHAnsi" w:hAnsiTheme="majorHAnsi"/>
          <w:sz w:val="16"/>
          <w:szCs w:val="16"/>
        </w:rPr>
        <w:t>Source:</w:t>
      </w:r>
      <w:r>
        <w:rPr>
          <w:rFonts w:asciiTheme="majorHAnsi" w:hAnsiTheme="majorHAnsi"/>
          <w:sz w:val="16"/>
          <w:szCs w:val="16"/>
        </w:rPr>
        <w:t xml:space="preserve"> </w:t>
      </w:r>
      <w:r w:rsidRPr="006B0B56">
        <w:rPr>
          <w:rFonts w:asciiTheme="majorHAnsi" w:hAnsiTheme="majorHAnsi"/>
          <w:sz w:val="16"/>
          <w:szCs w:val="16"/>
        </w:rPr>
        <w:t>https://www.cdcrdp.org/tdsrdp/wp-content/uploads/sites/2/2020/03/projet-concerte_definition-commune_adoptee_4-10-18.pdf</w:t>
      </w:r>
    </w:p>
    <w:p w14:paraId="5589CC59" w14:textId="77777777" w:rsidR="00FC4103" w:rsidRPr="000B3CD1" w:rsidRDefault="00FC4103" w:rsidP="00FC4103">
      <w:pPr>
        <w:pStyle w:val="Paragraphedeliste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286637E8" w14:textId="77777777" w:rsidR="00FC4103" w:rsidRPr="000B3CD1" w:rsidRDefault="00FC4103" w:rsidP="00FC4103">
      <w:pPr>
        <w:spacing w:after="160" w:line="259" w:lineRule="auto"/>
        <w:jc w:val="both"/>
        <w:rPr>
          <w:rFonts w:asciiTheme="majorHAnsi" w:hAnsiTheme="majorHAnsi"/>
          <w:b/>
          <w:bCs/>
        </w:rPr>
      </w:pPr>
      <w:r w:rsidRPr="000B3CD1">
        <w:rPr>
          <w:rFonts w:asciiTheme="majorHAnsi" w:hAnsiTheme="majorHAnsi"/>
          <w:b/>
          <w:bCs/>
        </w:rPr>
        <w:t>Activité récurrente</w:t>
      </w:r>
    </w:p>
    <w:p w14:paraId="747B857C" w14:textId="189C1A4F" w:rsidR="00FC4103" w:rsidRPr="000B3CD1" w:rsidRDefault="00FC4103" w:rsidP="00FC4103">
      <w:pPr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Une activité récurrente est une activité qui a un résultat similaire sur une période prolongée.  L’activité se répète à intervalle réguli</w:t>
      </w:r>
      <w:r w:rsidR="00B14AEF">
        <w:rPr>
          <w:rFonts w:asciiTheme="majorHAnsi" w:hAnsiTheme="majorHAnsi"/>
        </w:rPr>
        <w:t>e</w:t>
      </w:r>
      <w:r w:rsidRPr="000B3CD1">
        <w:rPr>
          <w:rFonts w:asciiTheme="majorHAnsi" w:hAnsiTheme="majorHAnsi"/>
        </w:rPr>
        <w:t>r n’a pas une valeur innovante et unique puisqu’un processus a été instauré, standardisé et répété année après année.  Malgré qu’une activité n’ait pas un financement récurrent, celle-ci peut être considérée comme une activité régulière de l’organisme.  Pour le présent appel de projet</w:t>
      </w:r>
      <w:r w:rsidR="009F5766">
        <w:rPr>
          <w:rFonts w:asciiTheme="majorHAnsi" w:hAnsiTheme="majorHAnsi"/>
        </w:rPr>
        <w:t>s</w:t>
      </w:r>
      <w:r w:rsidRPr="000B3CD1">
        <w:rPr>
          <w:rFonts w:asciiTheme="majorHAnsi" w:hAnsiTheme="majorHAnsi"/>
        </w:rPr>
        <w:t xml:space="preserve">, une activité est jugée comme récurrente si elle est réalisée depuis plus de 3 ans.  </w:t>
      </w:r>
    </w:p>
    <w:p w14:paraId="24678983" w14:textId="77777777" w:rsidR="00FC4103" w:rsidRDefault="00FC4103" w:rsidP="0014587A">
      <w:pPr>
        <w:jc w:val="both"/>
        <w:rPr>
          <w:rFonts w:asciiTheme="majorHAnsi" w:hAnsiTheme="majorHAnsi" w:cstheme="majorHAnsi"/>
          <w:b/>
          <w:bCs/>
        </w:rPr>
      </w:pPr>
    </w:p>
    <w:p w14:paraId="4C76E3CA" w14:textId="77777777" w:rsidR="00755AE4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0C1ADC74" w14:textId="77777777" w:rsidR="00755AE4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6403AF78" w14:textId="77777777" w:rsidR="00755AE4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599BB545" w14:textId="77777777" w:rsidR="00755AE4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40F4080E" w14:textId="77777777" w:rsidR="00755AE4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47015F4F" w14:textId="77777777" w:rsidR="00755AE4" w:rsidRPr="000B3CD1" w:rsidRDefault="00755AE4" w:rsidP="0014587A">
      <w:pPr>
        <w:jc w:val="both"/>
        <w:rPr>
          <w:rFonts w:asciiTheme="majorHAnsi" w:hAnsiTheme="majorHAnsi" w:cstheme="majorHAnsi"/>
          <w:b/>
          <w:bCs/>
        </w:rPr>
      </w:pPr>
    </w:p>
    <w:p w14:paraId="00A7BB29" w14:textId="77777777" w:rsidR="00FC4103" w:rsidRPr="000B3CD1" w:rsidRDefault="00FC4103" w:rsidP="0014587A">
      <w:pPr>
        <w:jc w:val="both"/>
        <w:rPr>
          <w:rFonts w:asciiTheme="majorHAnsi" w:hAnsiTheme="majorHAnsi" w:cstheme="majorHAnsi"/>
          <w:b/>
          <w:bCs/>
        </w:rPr>
      </w:pPr>
    </w:p>
    <w:p w14:paraId="7A6BF14B" w14:textId="3313260E" w:rsidR="0032094F" w:rsidRPr="000B3CD1" w:rsidRDefault="0032094F" w:rsidP="0014587A">
      <w:pPr>
        <w:jc w:val="both"/>
        <w:rPr>
          <w:rFonts w:asciiTheme="majorHAnsi" w:hAnsiTheme="majorHAnsi" w:cstheme="majorHAnsi"/>
          <w:b/>
          <w:bCs/>
        </w:rPr>
      </w:pPr>
      <w:r w:rsidRPr="000B3CD1">
        <w:rPr>
          <w:rFonts w:asciiTheme="majorHAnsi" w:hAnsiTheme="majorHAnsi" w:cstheme="majorHAnsi"/>
          <w:b/>
          <w:bCs/>
        </w:rPr>
        <w:t xml:space="preserve">ANNEXE </w:t>
      </w:r>
      <w:r w:rsidR="00FC4103" w:rsidRPr="000B3CD1">
        <w:rPr>
          <w:rFonts w:asciiTheme="majorHAnsi" w:hAnsiTheme="majorHAnsi" w:cstheme="majorHAnsi"/>
          <w:b/>
          <w:bCs/>
        </w:rPr>
        <w:t>2</w:t>
      </w:r>
    </w:p>
    <w:p w14:paraId="5952DD89" w14:textId="77777777" w:rsidR="0032094F" w:rsidRPr="000B3CD1" w:rsidRDefault="0032094F" w:rsidP="0014587A">
      <w:pPr>
        <w:jc w:val="both"/>
        <w:rPr>
          <w:rFonts w:asciiTheme="majorHAnsi" w:hAnsiTheme="majorHAnsi" w:cstheme="majorHAnsi"/>
          <w:b/>
          <w:bCs/>
        </w:rPr>
      </w:pPr>
    </w:p>
    <w:p w14:paraId="76EC193F" w14:textId="2A58DB5F" w:rsidR="005200DE" w:rsidRPr="000B3CD1" w:rsidRDefault="005200DE" w:rsidP="005200DE">
      <w:pPr>
        <w:jc w:val="both"/>
        <w:rPr>
          <w:rFonts w:asciiTheme="majorHAnsi" w:hAnsiTheme="majorHAnsi" w:cstheme="majorHAnsi"/>
          <w:b/>
          <w:bCs/>
        </w:rPr>
      </w:pPr>
      <w:r w:rsidRPr="000B3CD1">
        <w:rPr>
          <w:rFonts w:asciiTheme="majorHAnsi" w:hAnsiTheme="majorHAnsi" w:cstheme="majorHAnsi"/>
          <w:b/>
          <w:bCs/>
        </w:rPr>
        <w:t>Concertations associées à la Démarche mauricienne </w:t>
      </w:r>
      <w:r w:rsidRPr="000B3CD1">
        <w:rPr>
          <w:rFonts w:asciiTheme="majorHAnsi" w:hAnsiTheme="majorHAnsi" w:cstheme="majorHAnsi"/>
          <w:b/>
          <w:bCs/>
          <w:kern w:val="0"/>
        </w:rPr>
        <w:t>pour le développement global de tous les jeunes de la Mauricie</w:t>
      </w:r>
      <w:r w:rsidR="00B92D74" w:rsidRPr="000B3CD1">
        <w:rPr>
          <w:rFonts w:asciiTheme="majorHAnsi" w:hAnsiTheme="majorHAnsi" w:cstheme="majorHAnsi"/>
          <w:b/>
          <w:bCs/>
          <w:kern w:val="0"/>
        </w:rPr>
        <w:t> :</w:t>
      </w:r>
    </w:p>
    <w:p w14:paraId="5A91875D" w14:textId="77777777" w:rsidR="005200DE" w:rsidRPr="000B3CD1" w:rsidRDefault="005200DE" w:rsidP="005200DE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sz w:val="12"/>
          <w:szCs w:val="12"/>
        </w:rPr>
      </w:pPr>
    </w:p>
    <w:p w14:paraId="1C02CFD5" w14:textId="77777777" w:rsidR="005200DE" w:rsidRPr="000B3CD1" w:rsidRDefault="005200DE" w:rsidP="005200DE">
      <w:pPr>
        <w:autoSpaceDE w:val="0"/>
        <w:autoSpaceDN w:val="0"/>
        <w:adjustRightInd w:val="0"/>
        <w:rPr>
          <w:rFonts w:asciiTheme="majorHAnsi" w:hAnsiTheme="majorHAnsi" w:cstheme="majorHAnsi"/>
          <w:kern w:val="0"/>
        </w:rPr>
      </w:pPr>
      <w:r w:rsidRPr="000B3CD1">
        <w:rPr>
          <w:rFonts w:asciiTheme="majorHAnsi" w:hAnsiTheme="majorHAnsi" w:cstheme="majorHAnsi"/>
          <w:kern w:val="0"/>
        </w:rPr>
        <w:t>Démarche mauricienne (gestion globale du projet)</w:t>
      </w:r>
    </w:p>
    <w:p w14:paraId="32EBD813" w14:textId="77777777" w:rsidR="005200DE" w:rsidRPr="000B3CD1" w:rsidRDefault="005200DE" w:rsidP="005200DE">
      <w:pPr>
        <w:autoSpaceDE w:val="0"/>
        <w:autoSpaceDN w:val="0"/>
        <w:adjustRightInd w:val="0"/>
        <w:rPr>
          <w:rFonts w:asciiTheme="majorHAnsi" w:hAnsiTheme="majorHAnsi" w:cstheme="majorHAnsi"/>
          <w:sz w:val="12"/>
          <w:szCs w:val="12"/>
        </w:rPr>
      </w:pPr>
    </w:p>
    <w:p w14:paraId="1CCD2580" w14:textId="77777777" w:rsidR="005200DE" w:rsidRPr="000B3CD1" w:rsidRDefault="005200DE" w:rsidP="005200DE">
      <w:pPr>
        <w:autoSpaceDE w:val="0"/>
        <w:autoSpaceDN w:val="0"/>
        <w:adjustRightInd w:val="0"/>
        <w:rPr>
          <w:rFonts w:asciiTheme="majorHAnsi" w:hAnsiTheme="majorHAnsi" w:cstheme="majorHAnsi"/>
          <w:kern w:val="0"/>
        </w:rPr>
      </w:pPr>
      <w:r w:rsidRPr="000B3CD1">
        <w:rPr>
          <w:rFonts w:asciiTheme="majorHAnsi" w:hAnsiTheme="majorHAnsi" w:cstheme="majorHAnsi"/>
        </w:rPr>
        <w:t>Table des élus de la Mauricie (TÉM), fiduciaire de la Démarche mauricienne</w:t>
      </w:r>
    </w:p>
    <w:p w14:paraId="052455C1" w14:textId="77777777" w:rsidR="005200DE" w:rsidRPr="000B3CD1" w:rsidRDefault="005200DE" w:rsidP="005200DE">
      <w:pPr>
        <w:autoSpaceDE w:val="0"/>
        <w:autoSpaceDN w:val="0"/>
        <w:adjustRightInd w:val="0"/>
        <w:rPr>
          <w:rFonts w:asciiTheme="majorHAnsi" w:hAnsiTheme="majorHAnsi" w:cstheme="majorHAnsi"/>
          <w:sz w:val="12"/>
          <w:szCs w:val="12"/>
        </w:rPr>
      </w:pPr>
    </w:p>
    <w:p w14:paraId="333C72F4" w14:textId="77777777" w:rsidR="004434CC" w:rsidRPr="000B3CD1" w:rsidRDefault="004434CC" w:rsidP="004434CC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Niveau local :</w:t>
      </w:r>
    </w:p>
    <w:p w14:paraId="3112D42E" w14:textId="77777777" w:rsidR="004434CC" w:rsidRPr="000B3CD1" w:rsidRDefault="004434CC" w:rsidP="004434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Trois-Rivières, Réseau d’Acteurs pour le Développement d’Actions Rassembleuses (RADAR)</w:t>
      </w:r>
    </w:p>
    <w:p w14:paraId="3A62C4E0" w14:textId="77777777" w:rsidR="004434CC" w:rsidRPr="000B3CD1" w:rsidRDefault="004434CC" w:rsidP="004434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Shawinigan, Conseil d'Orientation et de Mobilisation des Partenaires Locaux pour l'Intervention des Communautés de l'Énergie (COMPLICE) </w:t>
      </w:r>
    </w:p>
    <w:p w14:paraId="7A2788E2" w14:textId="77777777" w:rsidR="004434CC" w:rsidRPr="000B3CD1" w:rsidRDefault="004434CC" w:rsidP="004434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Réussite éducative Haut-Saint-Maurice (REHSM)</w:t>
      </w:r>
    </w:p>
    <w:p w14:paraId="2556DEBA" w14:textId="29268649" w:rsidR="001C20F3" w:rsidRPr="000B3CD1" w:rsidRDefault="001C20F3" w:rsidP="004434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Regroupement des Partenaires du Développement Social (RDPS) de la MRC de Maskinongé </w:t>
      </w:r>
    </w:p>
    <w:p w14:paraId="7E8DE6A3" w14:textId="4B12A528" w:rsidR="004434CC" w:rsidRPr="000B3CD1" w:rsidRDefault="004434CC" w:rsidP="004434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Réussite éducative – concertation locale MRC de Mékinac</w:t>
      </w:r>
    </w:p>
    <w:p w14:paraId="24D5F341" w14:textId="77777777" w:rsidR="004434CC" w:rsidRPr="000B3CD1" w:rsidRDefault="004434CC" w:rsidP="004434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Comité enfance jeunesse famille des Chenaux</w:t>
      </w:r>
    </w:p>
    <w:p w14:paraId="3EE1B7CA" w14:textId="77777777" w:rsidR="004434CC" w:rsidRPr="000B3CD1" w:rsidRDefault="004434CC" w:rsidP="004434CC">
      <w:pPr>
        <w:pStyle w:val="Paragraphedeliste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74549C8B" w14:textId="77777777" w:rsidR="004434CC" w:rsidRPr="000B3CD1" w:rsidRDefault="004434CC" w:rsidP="004434CC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Niveau régional :</w:t>
      </w:r>
    </w:p>
    <w:p w14:paraId="6D066A5E" w14:textId="77777777" w:rsidR="004434CC" w:rsidRPr="000B3CD1" w:rsidRDefault="004434CC" w:rsidP="004434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Consortium en développement social de la Mauricie (CDSM)</w:t>
      </w:r>
    </w:p>
    <w:p w14:paraId="2A2B8B51" w14:textId="77777777" w:rsidR="004434CC" w:rsidRPr="000B3CD1" w:rsidRDefault="004434CC" w:rsidP="004434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Table régionale de l’éducation de la Mauricie (TREM)</w:t>
      </w:r>
    </w:p>
    <w:p w14:paraId="638C5CF1" w14:textId="77777777" w:rsidR="004434CC" w:rsidRPr="000B3CD1" w:rsidRDefault="004434CC" w:rsidP="004434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Table intersectorielle régionale sur les saines habitudes de vie (TIR-SHV)</w:t>
      </w:r>
    </w:p>
    <w:p w14:paraId="0800EE3A" w14:textId="00476980" w:rsidR="00A115C2" w:rsidRPr="000B3CD1" w:rsidRDefault="004434CC" w:rsidP="00A115C2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Unité régionale de loisir et de sport de la Mauricie (URLSM)</w:t>
      </w:r>
    </w:p>
    <w:p w14:paraId="5114AEE2" w14:textId="77777777" w:rsidR="005707F2" w:rsidRPr="000B3CD1" w:rsidRDefault="005707F2" w:rsidP="004006E8">
      <w:pPr>
        <w:jc w:val="both"/>
        <w:rPr>
          <w:rFonts w:asciiTheme="majorHAnsi" w:hAnsiTheme="majorHAnsi"/>
          <w:b/>
          <w:bCs/>
        </w:rPr>
      </w:pPr>
    </w:p>
    <w:p w14:paraId="12DC9240" w14:textId="77777777" w:rsidR="00B14AEF" w:rsidRDefault="004006E8" w:rsidP="004006E8">
      <w:pPr>
        <w:jc w:val="both"/>
        <w:rPr>
          <w:rFonts w:asciiTheme="majorHAnsi" w:hAnsiTheme="majorHAnsi"/>
          <w:b/>
          <w:bCs/>
        </w:rPr>
      </w:pPr>
      <w:r w:rsidRPr="000B3CD1">
        <w:rPr>
          <w:rFonts w:asciiTheme="majorHAnsi" w:hAnsiTheme="majorHAnsi"/>
          <w:b/>
          <w:bCs/>
        </w:rPr>
        <w:t xml:space="preserve">ANNEXE </w:t>
      </w:r>
      <w:r w:rsidR="00FC4103" w:rsidRPr="000B3CD1">
        <w:rPr>
          <w:rFonts w:asciiTheme="majorHAnsi" w:hAnsiTheme="majorHAnsi"/>
          <w:b/>
          <w:bCs/>
        </w:rPr>
        <w:t>3</w:t>
      </w:r>
      <w:r w:rsidRPr="000B3CD1">
        <w:rPr>
          <w:rFonts w:asciiTheme="majorHAnsi" w:hAnsiTheme="majorHAnsi"/>
          <w:b/>
          <w:bCs/>
        </w:rPr>
        <w:t xml:space="preserve">   </w:t>
      </w:r>
    </w:p>
    <w:p w14:paraId="57E281F9" w14:textId="77777777" w:rsidR="00B14AEF" w:rsidRDefault="00B14AEF" w:rsidP="004006E8">
      <w:pPr>
        <w:jc w:val="both"/>
        <w:rPr>
          <w:rFonts w:asciiTheme="majorHAnsi" w:hAnsiTheme="majorHAnsi"/>
          <w:b/>
          <w:bCs/>
        </w:rPr>
      </w:pPr>
    </w:p>
    <w:p w14:paraId="294CFDEC" w14:textId="32E35FE4" w:rsidR="004006E8" w:rsidRPr="000B3CD1" w:rsidRDefault="004006E8" w:rsidP="004006E8">
      <w:pPr>
        <w:jc w:val="both"/>
        <w:rPr>
          <w:rFonts w:asciiTheme="majorHAnsi" w:hAnsiTheme="majorHAnsi"/>
          <w:b/>
          <w:bCs/>
        </w:rPr>
      </w:pPr>
      <w:r w:rsidRPr="000B3CD1">
        <w:rPr>
          <w:rFonts w:asciiTheme="majorHAnsi" w:hAnsiTheme="majorHAnsi"/>
          <w:b/>
          <w:bCs/>
        </w:rPr>
        <w:t>Enjeux communs identifiés dans les concertations locales </w:t>
      </w:r>
    </w:p>
    <w:p w14:paraId="09B60022" w14:textId="77777777" w:rsidR="004006E8" w:rsidRPr="000B3CD1" w:rsidRDefault="004006E8" w:rsidP="004006E8">
      <w:pPr>
        <w:jc w:val="both"/>
        <w:rPr>
          <w:rFonts w:asciiTheme="majorHAnsi" w:hAnsiTheme="majorHAnsi"/>
        </w:rPr>
      </w:pPr>
    </w:p>
    <w:p w14:paraId="262FD113" w14:textId="77777777" w:rsidR="004006E8" w:rsidRPr="000B3CD1" w:rsidRDefault="004006E8" w:rsidP="004006E8">
      <w:pPr>
        <w:pStyle w:val="Paragraphedeliste"/>
        <w:numPr>
          <w:ilvl w:val="0"/>
          <w:numId w:val="11"/>
        </w:numPr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Accessibilité aux services et inclusion</w:t>
      </w:r>
    </w:p>
    <w:p w14:paraId="13748CA3" w14:textId="77777777" w:rsidR="004006E8" w:rsidRPr="000B3CD1" w:rsidRDefault="004006E8" w:rsidP="004006E8">
      <w:pPr>
        <w:pStyle w:val="Paragraphedeliste"/>
        <w:numPr>
          <w:ilvl w:val="0"/>
          <w:numId w:val="11"/>
        </w:numPr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Santé mentale et bien-être</w:t>
      </w:r>
    </w:p>
    <w:p w14:paraId="79440EAC" w14:textId="77777777" w:rsidR="004006E8" w:rsidRPr="000B3CD1" w:rsidRDefault="004006E8" w:rsidP="004006E8">
      <w:pPr>
        <w:pStyle w:val="Paragraphedeliste"/>
        <w:numPr>
          <w:ilvl w:val="0"/>
          <w:numId w:val="11"/>
        </w:numPr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Habiletés parentales</w:t>
      </w:r>
    </w:p>
    <w:p w14:paraId="7B5F6376" w14:textId="77777777" w:rsidR="004006E8" w:rsidRPr="000B3CD1" w:rsidRDefault="004006E8" w:rsidP="004006E8">
      <w:pPr>
        <w:pStyle w:val="Paragraphedeliste"/>
        <w:numPr>
          <w:ilvl w:val="0"/>
          <w:numId w:val="11"/>
        </w:numPr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 xml:space="preserve">Participation citoyenne </w:t>
      </w:r>
    </w:p>
    <w:p w14:paraId="15778E8C" w14:textId="77777777" w:rsidR="004006E8" w:rsidRPr="000B3CD1" w:rsidRDefault="004006E8" w:rsidP="004006E8">
      <w:pPr>
        <w:pStyle w:val="Paragraphedeliste"/>
        <w:numPr>
          <w:ilvl w:val="0"/>
          <w:numId w:val="11"/>
        </w:numPr>
        <w:jc w:val="both"/>
        <w:rPr>
          <w:rFonts w:asciiTheme="majorHAnsi" w:hAnsiTheme="majorHAnsi"/>
        </w:rPr>
      </w:pPr>
      <w:r w:rsidRPr="000B3CD1">
        <w:rPr>
          <w:rFonts w:asciiTheme="majorHAnsi" w:hAnsiTheme="majorHAnsi"/>
        </w:rPr>
        <w:t>Communication et sensibilisation</w:t>
      </w:r>
    </w:p>
    <w:p w14:paraId="2BC800A9" w14:textId="77777777" w:rsidR="00A115C2" w:rsidRPr="000B3CD1" w:rsidRDefault="00A115C2" w:rsidP="00A115C2">
      <w:pPr>
        <w:spacing w:after="200" w:line="276" w:lineRule="auto"/>
        <w:jc w:val="both"/>
        <w:rPr>
          <w:rFonts w:asciiTheme="majorHAnsi" w:hAnsiTheme="majorHAnsi" w:cstheme="majorHAnsi"/>
          <w:b/>
          <w:bCs/>
        </w:rPr>
      </w:pPr>
    </w:p>
    <w:p w14:paraId="4D145402" w14:textId="6F29DD80" w:rsidR="00AE2F79" w:rsidRPr="000B3CD1" w:rsidRDefault="00AE2F79" w:rsidP="000E5483">
      <w:pPr>
        <w:rPr>
          <w:rFonts w:asciiTheme="majorHAnsi" w:hAnsiTheme="majorHAnsi"/>
        </w:rPr>
      </w:pPr>
    </w:p>
    <w:sectPr w:rsidR="00AE2F79" w:rsidRPr="000B3CD1" w:rsidSect="00682A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A8D2" w14:textId="77777777" w:rsidR="00C756F7" w:rsidRDefault="00C756F7" w:rsidP="00DC2A68">
      <w:r>
        <w:separator/>
      </w:r>
    </w:p>
  </w:endnote>
  <w:endnote w:type="continuationSeparator" w:id="0">
    <w:p w14:paraId="0A172AF2" w14:textId="77777777" w:rsidR="00C756F7" w:rsidRDefault="00C756F7" w:rsidP="00DC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60FF" w14:textId="77777777" w:rsidR="0009298E" w:rsidRDefault="000929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511E" w14:textId="77777777" w:rsidR="0009298E" w:rsidRDefault="000929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F04E" w14:textId="77777777" w:rsidR="0009298E" w:rsidRDefault="000929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6FDA" w14:textId="77777777" w:rsidR="00C756F7" w:rsidRDefault="00C756F7" w:rsidP="00DC2A68">
      <w:r>
        <w:separator/>
      </w:r>
    </w:p>
  </w:footnote>
  <w:footnote w:type="continuationSeparator" w:id="0">
    <w:p w14:paraId="08D349B0" w14:textId="77777777" w:rsidR="00C756F7" w:rsidRDefault="00C756F7" w:rsidP="00DC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9137" w14:textId="77777777" w:rsidR="0009298E" w:rsidRDefault="000929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D105" w14:textId="62D23AFD" w:rsidR="005F5778" w:rsidRDefault="00127E09" w:rsidP="00127E09">
    <w:pPr>
      <w:pStyle w:val="En-tte"/>
      <w:jc w:val="both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62DF884" wp14:editId="482624EB">
          <wp:simplePos x="0" y="0"/>
          <wp:positionH relativeFrom="page">
            <wp:posOffset>163195</wp:posOffset>
          </wp:positionH>
          <wp:positionV relativeFrom="page">
            <wp:posOffset>86995</wp:posOffset>
          </wp:positionV>
          <wp:extent cx="4691380" cy="1072515"/>
          <wp:effectExtent l="0" t="0" r="0" b="0"/>
          <wp:wrapNone/>
          <wp:docPr id="183564035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40355" name="Image 1835640355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138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E89" w14:textId="77777777" w:rsidR="0009298E" w:rsidRDefault="000929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B0"/>
    <w:multiLevelType w:val="hybridMultilevel"/>
    <w:tmpl w:val="CF3CA5B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42EDF"/>
    <w:multiLevelType w:val="hybridMultilevel"/>
    <w:tmpl w:val="C3EE17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5F35"/>
    <w:multiLevelType w:val="hybridMultilevel"/>
    <w:tmpl w:val="9692E020"/>
    <w:lvl w:ilvl="0" w:tplc="69821BD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D59CD"/>
    <w:multiLevelType w:val="hybridMultilevel"/>
    <w:tmpl w:val="D1F67E4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12D6E"/>
    <w:multiLevelType w:val="hybridMultilevel"/>
    <w:tmpl w:val="21C625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814E9"/>
    <w:multiLevelType w:val="hybridMultilevel"/>
    <w:tmpl w:val="D556C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7F6C"/>
    <w:multiLevelType w:val="hybridMultilevel"/>
    <w:tmpl w:val="499AFF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532E0"/>
    <w:multiLevelType w:val="hybridMultilevel"/>
    <w:tmpl w:val="CDB882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05D65"/>
    <w:multiLevelType w:val="hybridMultilevel"/>
    <w:tmpl w:val="7820C90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C3308"/>
    <w:multiLevelType w:val="hybridMultilevel"/>
    <w:tmpl w:val="724079F2"/>
    <w:lvl w:ilvl="0" w:tplc="69821B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E5A83"/>
    <w:multiLevelType w:val="hybridMultilevel"/>
    <w:tmpl w:val="3D1CC270"/>
    <w:lvl w:ilvl="0" w:tplc="69821B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22FD4"/>
    <w:multiLevelType w:val="hybridMultilevel"/>
    <w:tmpl w:val="AB9038D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F91808"/>
    <w:multiLevelType w:val="hybridMultilevel"/>
    <w:tmpl w:val="241E1120"/>
    <w:lvl w:ilvl="0" w:tplc="69821BD6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046259"/>
    <w:multiLevelType w:val="hybridMultilevel"/>
    <w:tmpl w:val="DADEFD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11758"/>
    <w:multiLevelType w:val="hybridMultilevel"/>
    <w:tmpl w:val="98E4081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5892"/>
    <w:multiLevelType w:val="hybridMultilevel"/>
    <w:tmpl w:val="653AF20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59554B"/>
    <w:multiLevelType w:val="hybridMultilevel"/>
    <w:tmpl w:val="B37AE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158F5"/>
    <w:multiLevelType w:val="hybridMultilevel"/>
    <w:tmpl w:val="2620F1E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78674">
    <w:abstractNumId w:val="13"/>
  </w:num>
  <w:num w:numId="2" w16cid:durableId="1917201840">
    <w:abstractNumId w:val="14"/>
  </w:num>
  <w:num w:numId="3" w16cid:durableId="1414860886">
    <w:abstractNumId w:val="10"/>
  </w:num>
  <w:num w:numId="4" w16cid:durableId="987710319">
    <w:abstractNumId w:val="11"/>
  </w:num>
  <w:num w:numId="5" w16cid:durableId="950473194">
    <w:abstractNumId w:val="5"/>
  </w:num>
  <w:num w:numId="6" w16cid:durableId="1435399800">
    <w:abstractNumId w:val="1"/>
  </w:num>
  <w:num w:numId="7" w16cid:durableId="1895313999">
    <w:abstractNumId w:val="4"/>
  </w:num>
  <w:num w:numId="8" w16cid:durableId="1910537554">
    <w:abstractNumId w:val="3"/>
  </w:num>
  <w:num w:numId="9" w16cid:durableId="580141239">
    <w:abstractNumId w:val="9"/>
  </w:num>
  <w:num w:numId="10" w16cid:durableId="1048148987">
    <w:abstractNumId w:val="7"/>
  </w:num>
  <w:num w:numId="11" w16cid:durableId="750003405">
    <w:abstractNumId w:val="6"/>
  </w:num>
  <w:num w:numId="12" w16cid:durableId="1899314668">
    <w:abstractNumId w:val="8"/>
  </w:num>
  <w:num w:numId="13" w16cid:durableId="537470201">
    <w:abstractNumId w:val="0"/>
  </w:num>
  <w:num w:numId="14" w16cid:durableId="948854449">
    <w:abstractNumId w:val="16"/>
  </w:num>
  <w:num w:numId="15" w16cid:durableId="2082482934">
    <w:abstractNumId w:val="2"/>
  </w:num>
  <w:num w:numId="16" w16cid:durableId="1214922173">
    <w:abstractNumId w:val="12"/>
  </w:num>
  <w:num w:numId="17" w16cid:durableId="411052985">
    <w:abstractNumId w:val="17"/>
  </w:num>
  <w:num w:numId="18" w16cid:durableId="480854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68"/>
    <w:rsid w:val="000111D0"/>
    <w:rsid w:val="00071C5B"/>
    <w:rsid w:val="00072F8D"/>
    <w:rsid w:val="00084A04"/>
    <w:rsid w:val="0009298E"/>
    <w:rsid w:val="00093313"/>
    <w:rsid w:val="000A29DC"/>
    <w:rsid w:val="000B3CD1"/>
    <w:rsid w:val="000D3224"/>
    <w:rsid w:val="000D543E"/>
    <w:rsid w:val="000D6C1A"/>
    <w:rsid w:val="000E5483"/>
    <w:rsid w:val="000F4132"/>
    <w:rsid w:val="00100863"/>
    <w:rsid w:val="001055AF"/>
    <w:rsid w:val="00127E09"/>
    <w:rsid w:val="00135A17"/>
    <w:rsid w:val="0014587A"/>
    <w:rsid w:val="00147ADE"/>
    <w:rsid w:val="00165F93"/>
    <w:rsid w:val="00177F65"/>
    <w:rsid w:val="001924C7"/>
    <w:rsid w:val="00194C5E"/>
    <w:rsid w:val="001A2DFA"/>
    <w:rsid w:val="001B125B"/>
    <w:rsid w:val="001C20F3"/>
    <w:rsid w:val="001D00D0"/>
    <w:rsid w:val="002012B3"/>
    <w:rsid w:val="00215F2E"/>
    <w:rsid w:val="002233E4"/>
    <w:rsid w:val="0023209E"/>
    <w:rsid w:val="00243755"/>
    <w:rsid w:val="00282078"/>
    <w:rsid w:val="00282A16"/>
    <w:rsid w:val="002918B2"/>
    <w:rsid w:val="00291FF6"/>
    <w:rsid w:val="002F55FE"/>
    <w:rsid w:val="003014D2"/>
    <w:rsid w:val="0032094F"/>
    <w:rsid w:val="00327C83"/>
    <w:rsid w:val="00340BD3"/>
    <w:rsid w:val="003441A5"/>
    <w:rsid w:val="0035263B"/>
    <w:rsid w:val="00354EBA"/>
    <w:rsid w:val="00357629"/>
    <w:rsid w:val="0037278B"/>
    <w:rsid w:val="0039193C"/>
    <w:rsid w:val="0039289A"/>
    <w:rsid w:val="00397D65"/>
    <w:rsid w:val="003A666C"/>
    <w:rsid w:val="003C57D0"/>
    <w:rsid w:val="004006E8"/>
    <w:rsid w:val="004114DB"/>
    <w:rsid w:val="00416993"/>
    <w:rsid w:val="0042265E"/>
    <w:rsid w:val="004434CC"/>
    <w:rsid w:val="00443926"/>
    <w:rsid w:val="00443B4D"/>
    <w:rsid w:val="00444495"/>
    <w:rsid w:val="00460CC7"/>
    <w:rsid w:val="00462131"/>
    <w:rsid w:val="00463203"/>
    <w:rsid w:val="004718DF"/>
    <w:rsid w:val="0049007F"/>
    <w:rsid w:val="004922AC"/>
    <w:rsid w:val="00495250"/>
    <w:rsid w:val="004A0CA2"/>
    <w:rsid w:val="004E2CDE"/>
    <w:rsid w:val="004F43C5"/>
    <w:rsid w:val="004F7838"/>
    <w:rsid w:val="00504370"/>
    <w:rsid w:val="005152F7"/>
    <w:rsid w:val="005200DE"/>
    <w:rsid w:val="0055106A"/>
    <w:rsid w:val="005526FC"/>
    <w:rsid w:val="00554664"/>
    <w:rsid w:val="00563DEF"/>
    <w:rsid w:val="005707F2"/>
    <w:rsid w:val="005934B4"/>
    <w:rsid w:val="005B151B"/>
    <w:rsid w:val="005C081F"/>
    <w:rsid w:val="005C29D1"/>
    <w:rsid w:val="005D09B3"/>
    <w:rsid w:val="005F408D"/>
    <w:rsid w:val="005F5778"/>
    <w:rsid w:val="00601AAA"/>
    <w:rsid w:val="00625404"/>
    <w:rsid w:val="00626F46"/>
    <w:rsid w:val="00642A4B"/>
    <w:rsid w:val="00651207"/>
    <w:rsid w:val="00660118"/>
    <w:rsid w:val="00674036"/>
    <w:rsid w:val="00676EFB"/>
    <w:rsid w:val="0068166E"/>
    <w:rsid w:val="00682ADF"/>
    <w:rsid w:val="00694C4E"/>
    <w:rsid w:val="006967BA"/>
    <w:rsid w:val="006A6A21"/>
    <w:rsid w:val="006B0B56"/>
    <w:rsid w:val="006B1E2F"/>
    <w:rsid w:val="006D35F3"/>
    <w:rsid w:val="006D6E67"/>
    <w:rsid w:val="006F5BD8"/>
    <w:rsid w:val="00700696"/>
    <w:rsid w:val="007016B7"/>
    <w:rsid w:val="007025BF"/>
    <w:rsid w:val="00731F14"/>
    <w:rsid w:val="00734878"/>
    <w:rsid w:val="00737F5E"/>
    <w:rsid w:val="00755AE4"/>
    <w:rsid w:val="00766F81"/>
    <w:rsid w:val="0076764E"/>
    <w:rsid w:val="007834EB"/>
    <w:rsid w:val="007B4382"/>
    <w:rsid w:val="007B4D02"/>
    <w:rsid w:val="007B6BEF"/>
    <w:rsid w:val="007C4A34"/>
    <w:rsid w:val="007D5CDB"/>
    <w:rsid w:val="00800488"/>
    <w:rsid w:val="00804257"/>
    <w:rsid w:val="00810DD6"/>
    <w:rsid w:val="0082448C"/>
    <w:rsid w:val="008261D8"/>
    <w:rsid w:val="008645B4"/>
    <w:rsid w:val="00865139"/>
    <w:rsid w:val="0087680A"/>
    <w:rsid w:val="0087708B"/>
    <w:rsid w:val="00885272"/>
    <w:rsid w:val="00885BFA"/>
    <w:rsid w:val="008A09C9"/>
    <w:rsid w:val="008A289F"/>
    <w:rsid w:val="008A3602"/>
    <w:rsid w:val="008A4766"/>
    <w:rsid w:val="008A7217"/>
    <w:rsid w:val="008C00D8"/>
    <w:rsid w:val="008C3F00"/>
    <w:rsid w:val="008D1D5B"/>
    <w:rsid w:val="008D28EF"/>
    <w:rsid w:val="008D38E0"/>
    <w:rsid w:val="00913E20"/>
    <w:rsid w:val="009377BC"/>
    <w:rsid w:val="00961FEE"/>
    <w:rsid w:val="00972C88"/>
    <w:rsid w:val="00983F3F"/>
    <w:rsid w:val="009A51B1"/>
    <w:rsid w:val="009A5ABE"/>
    <w:rsid w:val="009F0C9F"/>
    <w:rsid w:val="009F5766"/>
    <w:rsid w:val="00A1009B"/>
    <w:rsid w:val="00A115C2"/>
    <w:rsid w:val="00A13D04"/>
    <w:rsid w:val="00A204FC"/>
    <w:rsid w:val="00A25330"/>
    <w:rsid w:val="00A27245"/>
    <w:rsid w:val="00A40439"/>
    <w:rsid w:val="00A4355A"/>
    <w:rsid w:val="00A50483"/>
    <w:rsid w:val="00A524A7"/>
    <w:rsid w:val="00A56AB3"/>
    <w:rsid w:val="00A57C95"/>
    <w:rsid w:val="00A62C2F"/>
    <w:rsid w:val="00A660AC"/>
    <w:rsid w:val="00A92ED2"/>
    <w:rsid w:val="00A9573F"/>
    <w:rsid w:val="00AA6E01"/>
    <w:rsid w:val="00AB104F"/>
    <w:rsid w:val="00AC1854"/>
    <w:rsid w:val="00AD2348"/>
    <w:rsid w:val="00AE2F79"/>
    <w:rsid w:val="00AF2D64"/>
    <w:rsid w:val="00AF5DC8"/>
    <w:rsid w:val="00B06B2A"/>
    <w:rsid w:val="00B079A7"/>
    <w:rsid w:val="00B1073F"/>
    <w:rsid w:val="00B14AEF"/>
    <w:rsid w:val="00B33DF1"/>
    <w:rsid w:val="00B45700"/>
    <w:rsid w:val="00B65D94"/>
    <w:rsid w:val="00B92D74"/>
    <w:rsid w:val="00BA010F"/>
    <w:rsid w:val="00BC7CDF"/>
    <w:rsid w:val="00BD42F6"/>
    <w:rsid w:val="00BE138E"/>
    <w:rsid w:val="00BE5DC5"/>
    <w:rsid w:val="00C01875"/>
    <w:rsid w:val="00C0391D"/>
    <w:rsid w:val="00C0401E"/>
    <w:rsid w:val="00C046BC"/>
    <w:rsid w:val="00C1178D"/>
    <w:rsid w:val="00C42AD3"/>
    <w:rsid w:val="00C44209"/>
    <w:rsid w:val="00C5462B"/>
    <w:rsid w:val="00C72353"/>
    <w:rsid w:val="00C756F7"/>
    <w:rsid w:val="00C771E3"/>
    <w:rsid w:val="00CA7ED6"/>
    <w:rsid w:val="00CB1306"/>
    <w:rsid w:val="00CB2D8B"/>
    <w:rsid w:val="00CC4CC5"/>
    <w:rsid w:val="00CC68F3"/>
    <w:rsid w:val="00CD515E"/>
    <w:rsid w:val="00CD7375"/>
    <w:rsid w:val="00D40DE0"/>
    <w:rsid w:val="00D849E7"/>
    <w:rsid w:val="00DB48DA"/>
    <w:rsid w:val="00DC2A68"/>
    <w:rsid w:val="00DD0178"/>
    <w:rsid w:val="00DE35D6"/>
    <w:rsid w:val="00DE6AD7"/>
    <w:rsid w:val="00DF0050"/>
    <w:rsid w:val="00E17D22"/>
    <w:rsid w:val="00E46D24"/>
    <w:rsid w:val="00E568D4"/>
    <w:rsid w:val="00E6233F"/>
    <w:rsid w:val="00E65AB9"/>
    <w:rsid w:val="00E75FC9"/>
    <w:rsid w:val="00E82345"/>
    <w:rsid w:val="00E945B4"/>
    <w:rsid w:val="00E9794B"/>
    <w:rsid w:val="00EB03B7"/>
    <w:rsid w:val="00EC1525"/>
    <w:rsid w:val="00ED4366"/>
    <w:rsid w:val="00ED6BF7"/>
    <w:rsid w:val="00EE6DC7"/>
    <w:rsid w:val="00F05A46"/>
    <w:rsid w:val="00F11E09"/>
    <w:rsid w:val="00F13F6E"/>
    <w:rsid w:val="00F14F77"/>
    <w:rsid w:val="00F315AB"/>
    <w:rsid w:val="00F324B3"/>
    <w:rsid w:val="00F36534"/>
    <w:rsid w:val="00F5598E"/>
    <w:rsid w:val="00F56EAC"/>
    <w:rsid w:val="00F709F6"/>
    <w:rsid w:val="00F72A27"/>
    <w:rsid w:val="00FB7584"/>
    <w:rsid w:val="00FC4103"/>
    <w:rsid w:val="00FD0BD1"/>
    <w:rsid w:val="00F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D529E"/>
  <w15:chartTrackingRefBased/>
  <w15:docId w15:val="{63EB8368-842D-B44E-A619-462589B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A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A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A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A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A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A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A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A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A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A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A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A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A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2A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A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A6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C2A6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C2A68"/>
  </w:style>
  <w:style w:type="paragraph" w:styleId="Pieddepage">
    <w:name w:val="footer"/>
    <w:basedOn w:val="Normal"/>
    <w:link w:val="PieddepageCar"/>
    <w:uiPriority w:val="99"/>
    <w:unhideWhenUsed/>
    <w:rsid w:val="00DC2A6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A68"/>
  </w:style>
  <w:style w:type="table" w:styleId="Grilledutableau">
    <w:name w:val="Table Grid"/>
    <w:basedOn w:val="TableauNormal"/>
    <w:uiPriority w:val="39"/>
    <w:rsid w:val="008C00D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D28E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28EF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fr-CA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810DD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C3F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3F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3F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3F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3F0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254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D6CGCegzrWGjSQh6" TargetMode="External"/><Relationship Id="rId13" Type="http://schemas.openxmlformats.org/officeDocument/2006/relationships/hyperlink" Target="reussite.educative@cdclatuque.c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plice@cdcshawinigan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gers@v3r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oordination@demarchemauricienne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oordination@demarchemauricienne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9BA80C-9C41-134D-9222-53877056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1631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Barbara</dc:creator>
  <cp:keywords/>
  <dc:description/>
  <cp:lastModifiedBy>Maryse Fortin</cp:lastModifiedBy>
  <cp:revision>49</cp:revision>
  <dcterms:created xsi:type="dcterms:W3CDTF">2025-03-27T15:35:00Z</dcterms:created>
  <dcterms:modified xsi:type="dcterms:W3CDTF">2025-08-13T18:59:00Z</dcterms:modified>
</cp:coreProperties>
</file>